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21C5" w14:textId="36B44ACC" w:rsidR="001E5EDC" w:rsidRDefault="001E5EDC" w:rsidP="005B2034">
      <w:pPr>
        <w:jc w:val="center"/>
        <w:rPr>
          <w:b/>
          <w:bCs/>
          <w:sz w:val="22"/>
          <w:szCs w:val="22"/>
          <w:lang w:val="en-GB"/>
        </w:rPr>
      </w:pPr>
      <w:r>
        <w:rPr>
          <w:b/>
          <w:bCs/>
          <w:noProof/>
          <w:sz w:val="22"/>
          <w:szCs w:val="22"/>
          <w:lang w:val="en-GB"/>
        </w:rPr>
        <w:drawing>
          <wp:inline distT="0" distB="0" distL="0" distR="0" wp14:anchorId="7C6BB547" wp14:editId="4B166F2F">
            <wp:extent cx="5758817" cy="801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4" cstate="print">
                      <a:extLst>
                        <a:ext uri="{28A0092B-C50C-407E-A947-70E740481C1C}">
                          <a14:useLocalDpi xmlns:a14="http://schemas.microsoft.com/office/drawing/2010/main" val="0"/>
                        </a:ext>
                      </a:extLst>
                    </a:blip>
                    <a:srcRect t="3712" b="86447"/>
                    <a:stretch/>
                  </pic:blipFill>
                  <pic:spPr bwMode="auto">
                    <a:xfrm>
                      <a:off x="0" y="0"/>
                      <a:ext cx="5760720" cy="801310"/>
                    </a:xfrm>
                    <a:prstGeom prst="rect">
                      <a:avLst/>
                    </a:prstGeom>
                    <a:ln>
                      <a:noFill/>
                    </a:ln>
                    <a:extLst>
                      <a:ext uri="{53640926-AAD7-44D8-BBD7-CCE9431645EC}">
                        <a14:shadowObscured xmlns:a14="http://schemas.microsoft.com/office/drawing/2010/main"/>
                      </a:ext>
                    </a:extLst>
                  </pic:spPr>
                </pic:pic>
              </a:graphicData>
            </a:graphic>
          </wp:inline>
        </w:drawing>
      </w:r>
    </w:p>
    <w:p w14:paraId="3DA63D17" w14:textId="0AF96D11" w:rsidR="001E5EDC" w:rsidRDefault="001E5EDC" w:rsidP="005B2034">
      <w:pPr>
        <w:jc w:val="center"/>
        <w:rPr>
          <w:b/>
          <w:bCs/>
          <w:sz w:val="22"/>
          <w:szCs w:val="22"/>
          <w:lang w:val="en-GB"/>
        </w:rPr>
      </w:pPr>
    </w:p>
    <w:p w14:paraId="1DD9D369" w14:textId="48901964" w:rsidR="001E5EDC" w:rsidRDefault="001E5EDC" w:rsidP="005B2034">
      <w:pPr>
        <w:jc w:val="center"/>
        <w:rPr>
          <w:b/>
          <w:bCs/>
          <w:sz w:val="22"/>
          <w:szCs w:val="22"/>
          <w:lang w:val="en-GB"/>
        </w:rPr>
      </w:pPr>
    </w:p>
    <w:p w14:paraId="5B2AFEA6" w14:textId="77777777" w:rsidR="001E5EDC" w:rsidRDefault="001E5EDC" w:rsidP="005B2034">
      <w:pPr>
        <w:jc w:val="center"/>
        <w:rPr>
          <w:b/>
          <w:bCs/>
          <w:sz w:val="22"/>
          <w:szCs w:val="22"/>
          <w:lang w:val="en-GB"/>
        </w:rPr>
      </w:pPr>
    </w:p>
    <w:p w14:paraId="033BCAFD" w14:textId="3F2ED75F" w:rsidR="00A0202C" w:rsidRPr="00157A36" w:rsidRDefault="00A0202C" w:rsidP="005B2034">
      <w:pPr>
        <w:jc w:val="center"/>
        <w:rPr>
          <w:b/>
          <w:bCs/>
          <w:sz w:val="22"/>
          <w:szCs w:val="22"/>
          <w:lang w:val="en-GB"/>
        </w:rPr>
      </w:pPr>
      <w:r w:rsidRPr="00157A36">
        <w:rPr>
          <w:b/>
          <w:bCs/>
          <w:sz w:val="22"/>
          <w:szCs w:val="22"/>
          <w:lang w:val="en-GB"/>
        </w:rPr>
        <w:t>Molecular Pathophysiology of Adrenal and endocrine Tissues Team</w:t>
      </w:r>
    </w:p>
    <w:p w14:paraId="63E6E471" w14:textId="2BD69ED7" w:rsidR="00A0202C" w:rsidRPr="00157A36" w:rsidRDefault="00A0202C" w:rsidP="0098307A">
      <w:pPr>
        <w:jc w:val="both"/>
        <w:rPr>
          <w:sz w:val="22"/>
          <w:szCs w:val="22"/>
          <w:lang w:val="en-GB"/>
        </w:rPr>
      </w:pPr>
    </w:p>
    <w:p w14:paraId="63986523" w14:textId="65DA675F" w:rsidR="00A0202C" w:rsidRPr="007D69EE" w:rsidRDefault="0098307A" w:rsidP="005B2034">
      <w:pPr>
        <w:jc w:val="center"/>
        <w:rPr>
          <w:sz w:val="22"/>
          <w:szCs w:val="22"/>
        </w:rPr>
      </w:pPr>
      <w:proofErr w:type="spellStart"/>
      <w:proofErr w:type="gramStart"/>
      <w:r w:rsidRPr="007D69EE">
        <w:rPr>
          <w:sz w:val="22"/>
          <w:szCs w:val="22"/>
        </w:rPr>
        <w:t>Directors</w:t>
      </w:r>
      <w:proofErr w:type="spellEnd"/>
      <w:r w:rsidRPr="007D69EE">
        <w:rPr>
          <w:sz w:val="22"/>
          <w:szCs w:val="22"/>
        </w:rPr>
        <w:t>:</w:t>
      </w:r>
      <w:proofErr w:type="gramEnd"/>
      <w:r w:rsidR="00A0202C" w:rsidRPr="007D69EE">
        <w:rPr>
          <w:sz w:val="22"/>
          <w:szCs w:val="22"/>
        </w:rPr>
        <w:t xml:space="preserve"> Dr Pierre VAL PhD, Dr Antoine Martinez PhD</w:t>
      </w:r>
    </w:p>
    <w:p w14:paraId="65E5B35C" w14:textId="7E790C7F" w:rsidR="00A0202C" w:rsidRPr="007D69EE" w:rsidRDefault="00A0202C" w:rsidP="0098307A">
      <w:pPr>
        <w:jc w:val="both"/>
        <w:rPr>
          <w:sz w:val="22"/>
          <w:szCs w:val="22"/>
        </w:rPr>
      </w:pPr>
    </w:p>
    <w:p w14:paraId="04E16AB6" w14:textId="77777777" w:rsidR="00157A36" w:rsidRPr="007D69EE" w:rsidRDefault="00157A36" w:rsidP="0098307A">
      <w:pPr>
        <w:jc w:val="both"/>
        <w:rPr>
          <w:sz w:val="22"/>
          <w:szCs w:val="22"/>
        </w:rPr>
      </w:pPr>
    </w:p>
    <w:p w14:paraId="0CE96D55" w14:textId="0599F5D8" w:rsidR="00A0202C" w:rsidRPr="00157A36" w:rsidRDefault="00157A36" w:rsidP="0098307A">
      <w:pPr>
        <w:jc w:val="both"/>
        <w:rPr>
          <w:b/>
          <w:bCs/>
          <w:sz w:val="22"/>
          <w:szCs w:val="22"/>
          <w:lang w:val="en-GB"/>
        </w:rPr>
      </w:pPr>
      <w:r w:rsidRPr="00157A36">
        <w:rPr>
          <w:b/>
          <w:bCs/>
          <w:sz w:val="22"/>
          <w:szCs w:val="22"/>
          <w:lang w:val="en-GB"/>
        </w:rPr>
        <w:t>Research overview</w:t>
      </w:r>
    </w:p>
    <w:p w14:paraId="358BC7B2" w14:textId="5DF7B731" w:rsidR="002B3BA7" w:rsidRPr="00157A36" w:rsidRDefault="008609CC" w:rsidP="0098307A">
      <w:pPr>
        <w:jc w:val="both"/>
        <w:rPr>
          <w:sz w:val="22"/>
          <w:szCs w:val="22"/>
          <w:lang w:val="en-GB"/>
        </w:rPr>
      </w:pPr>
      <w:r w:rsidRPr="00157A36">
        <w:rPr>
          <w:sz w:val="22"/>
          <w:szCs w:val="22"/>
          <w:lang w:val="en-GB"/>
        </w:rPr>
        <w:t>Our research group entitled “Molecular Pathophysiology of Adrenal and Endocrine Tissues” is hosted by the Genetics Reproduction and Development Institute (</w:t>
      </w:r>
      <w:proofErr w:type="spellStart"/>
      <w:r w:rsidRPr="00157A36">
        <w:rPr>
          <w:sz w:val="22"/>
          <w:szCs w:val="22"/>
          <w:lang w:val="en-GB"/>
        </w:rPr>
        <w:t>iGReD</w:t>
      </w:r>
      <w:proofErr w:type="spellEnd"/>
      <w:r w:rsidRPr="00157A36">
        <w:rPr>
          <w:sz w:val="22"/>
          <w:szCs w:val="22"/>
          <w:lang w:val="en-GB"/>
        </w:rPr>
        <w:t xml:space="preserve">), a multidisciplinary laboratory located in the heart of France. </w:t>
      </w:r>
      <w:r w:rsidR="00CE416A" w:rsidRPr="00157A36">
        <w:rPr>
          <w:sz w:val="22"/>
          <w:szCs w:val="22"/>
          <w:lang w:val="en-GB"/>
        </w:rPr>
        <w:t xml:space="preserve">It is currently composed of 14 people encompassing PhD students (3), Postdocs (3), full-time researchers (2), researcher-teachers (2), MDs (2) and technical support (2). </w:t>
      </w:r>
    </w:p>
    <w:p w14:paraId="0BD09620" w14:textId="77777777" w:rsidR="002B3BA7" w:rsidRPr="00157A36" w:rsidRDefault="002B3BA7" w:rsidP="0098307A">
      <w:pPr>
        <w:jc w:val="both"/>
        <w:rPr>
          <w:sz w:val="22"/>
          <w:szCs w:val="22"/>
          <w:lang w:val="en-GB"/>
        </w:rPr>
      </w:pPr>
    </w:p>
    <w:p w14:paraId="1142B7A9" w14:textId="5E228434" w:rsidR="00196CA2" w:rsidRPr="00157A36" w:rsidRDefault="008609CC" w:rsidP="0098307A">
      <w:pPr>
        <w:jc w:val="both"/>
        <w:rPr>
          <w:sz w:val="22"/>
          <w:szCs w:val="22"/>
          <w:lang w:val="en-GB"/>
        </w:rPr>
      </w:pPr>
      <w:r w:rsidRPr="00157A36">
        <w:rPr>
          <w:sz w:val="22"/>
          <w:szCs w:val="22"/>
          <w:lang w:val="en-GB"/>
        </w:rPr>
        <w:t>Over the last 15 years our goal has been to decipher the genetic and molecular mechanisms underlying adrenal development, differentiation and disease</w:t>
      </w:r>
      <w:r w:rsidR="0033276B" w:rsidRPr="00157A36">
        <w:rPr>
          <w:sz w:val="22"/>
          <w:szCs w:val="22"/>
          <w:lang w:val="en-GB"/>
        </w:rPr>
        <w:t>, using elaborate genetically engineered mouse models</w:t>
      </w:r>
      <w:r w:rsidRPr="00157A36">
        <w:rPr>
          <w:sz w:val="22"/>
          <w:szCs w:val="22"/>
          <w:lang w:val="en-GB"/>
        </w:rPr>
        <w:t xml:space="preserve">. </w:t>
      </w:r>
      <w:r w:rsidR="00FC7BEE" w:rsidRPr="00157A36">
        <w:rPr>
          <w:sz w:val="22"/>
          <w:szCs w:val="22"/>
          <w:lang w:val="en-GB"/>
        </w:rPr>
        <w:t xml:space="preserve">Our work has demonstrated the central role of WNT and PKA signalling antagonism to allow establishment and maintenance of zonal differentiation of the adrenal cortex, which is central </w:t>
      </w:r>
      <w:r w:rsidR="00CE416A" w:rsidRPr="00157A36">
        <w:rPr>
          <w:sz w:val="22"/>
          <w:szCs w:val="22"/>
          <w:lang w:val="en-GB"/>
        </w:rPr>
        <w:t xml:space="preserve">to maintain </w:t>
      </w:r>
      <w:r w:rsidR="005A2168" w:rsidRPr="00157A36">
        <w:rPr>
          <w:sz w:val="22"/>
          <w:szCs w:val="22"/>
          <w:lang w:val="en-GB"/>
        </w:rPr>
        <w:t xml:space="preserve">its </w:t>
      </w:r>
      <w:r w:rsidR="00CE416A" w:rsidRPr="00157A36">
        <w:rPr>
          <w:sz w:val="22"/>
          <w:szCs w:val="22"/>
          <w:lang w:val="en-GB"/>
        </w:rPr>
        <w:t>endocrine activity</w:t>
      </w:r>
      <w:r w:rsidR="00850015">
        <w:rPr>
          <w:sz w:val="22"/>
          <w:szCs w:val="22"/>
          <w:lang w:val="en-GB"/>
        </w:rPr>
        <w:t xml:space="preserve"> </w:t>
      </w:r>
      <w:r w:rsidR="00850015">
        <w:rPr>
          <w:sz w:val="22"/>
          <w:szCs w:val="22"/>
          <w:lang w:val="en-GB"/>
        </w:rPr>
        <w:fldChar w:fldCharType="begin"/>
      </w:r>
      <w:r w:rsidR="00850015">
        <w:rPr>
          <w:sz w:val="22"/>
          <w:szCs w:val="22"/>
          <w:lang w:val="en-GB"/>
        </w:rPr>
        <w:instrText xml:space="preserve"> ADDIN ZOTERO_ITEM CSL_CITATION {"citationID":"RuRV7AfY","properties":{"formattedCitation":"\\super 1\\uc0\\u8211{}3\\nosupersub{}","plainCitation":"1–3","noteIndex":0},"citationItems":[{"id":1364,"uris":["http://zotero.org/groups/2664558/items/Q7QAXDPK"],"uri":["http://zotero.org/groups/2664558/items/Q7QAXDPK"],"itemData":{"id":1364,"type":"article-journal","abstract":"Adrenocortical carcinoma is a rare but aggressive cancer with unknown aetiology. Constitutive activation of beta-catenin is the most frequent alteration in benign and malignant adrenocortical tumours in patients. Here, we show that constitutive activation of beta-catenin in the adrenal cortex of transgenic mice resulted in progressive steroidogenic and undifferentiated spindle-shaped cells hyperplasia as well as dysplasia of the cortex and medulla. Over a 17 months time course, transgenic adrenals developed malignant characteristics such as uncontrolled neovascularization and loco-regional metastatic invasion. These oncogenic events were accompanied by ectopic differentiation of glomerulosa at the expense of fasciculata cells, which caused primary hyperaldosteronism. Altogether these observations demonstrate that constitutively active beta-catenin is an adrenal oncogene which triggers benign aldosterone-secreting tumour development and promotes malignancy.","container-title":"Hum Mol Genet","DOI":"ddq029 [pii] 10.1093/hmg/ddq029","ISSN":"1460-2083 (ELECTRONIC) 0964-6906 (LINKING)","issue":"8","note":"number: 8","page":"1561-1576","title":"Constitutive {beta}-catenin activation induces adrenal hyperplasia and promotes adrenal cancer development","volume":"19","author":[{"family":"Berthon","given":"A."},{"family":"Sahut-Barnola","given":"I."},{"family":"Lambert-Langlais","given":"S."},{"family":"Joussineau","given":"C.","non-dropping-particle":"de"},{"family":"Damon-Soubeyrand","given":"C."},{"family":"Louiset","given":"E."},{"family":"Taketo","given":"M. M."},{"family":"Tissier","given":"F."},{"family":"Bertherat","given":"J."},{"family":"Lefrancois-Martinez","given":"A. M."},{"family":"Martinez","given":"A."},{"family":"Val","given":"P."}],"issued":{"date-parts":[["2010"]]}}},{"id":771,"uris":["http://zotero.org/groups/2664558/items/DCNCI8NT"],"uri":["http://zotero.org/groups/2664558/items/DCNCI8NT"],"itemData":{"id":771,"type":"article-journal","abstract":"Primary aldosteronism (PA) is the main cause of secondary hypertension, resulting from adrenal aldosterone-producing adenomas (APA) or bilateral hyperplasia. Here, we show that constitutive activation of WNT/β-catenin signalling is the most frequent molecular alteration found in 70% of APA. We provide evidence that decreased expression of the WNT inhibitor SFRP2 may be contributing to deregulated WNT signalling and APA development in patients. This is supported by the demonstration that mice with genetic ablation of Sfrp2 have increased aldosterone production and ectopic differentiation of zona glomerulosa cells. We further show that β-catenin plays an essential role in the control of basal and Angiotensin II-induced aldosterone secretion, by activating AT1R, CYP21 and CYP11B2 transcription. This relies on both LEF/TCF-dependent activation of AT1R and CYP21 regulatory regions and indirect activation of CYP21 and CYP11B2 promoters, through increased expression of the nuclear receptors NURR1 and NUR77. Altogether, these data show that aberrant WNT/β-catenin activation is associated with APA development and suggest that WNT pathway may be a good therapeutic target in PA.","container-title":"Human Molecular Genetics","DOI":"10.1093/hmg/ddt484","ISSN":"1460-2083","issue":"4","journalAbbreviation":"Hum. Mol. Genet.","language":"eng","note":"number: 4\nPMID: 24087794","page":"889-905","source":"NCBI PubMed","title":"WNT/β-catenin signalling is activated in aldosterone-producing adenomas and controls aldosterone production","volume":"23","author":[{"family":"Berthon","given":"Annabel"},{"family":"Drelon","given":"Coralie"},{"family":"Ragazzon","given":"Bruno"},{"family":"Boulkroun","given":"Sheerazed"},{"family":"Tissier","given":"Frédérique"},{"family":"Amar","given":"Laurence"},{"family":"Samson-Couterie","given":"Benoît"},{"family":"Zennaro","given":"Maria-Christina"},{"family":"Plouin","given":"Pierre-François"},{"family":"Skah","given":"Seham"},{"family":"Plateroti","given":"Michelina"},{"family":"Lefèbvre","given":"Hervé"},{"family":"Sahut-Barnola","given":"Isabelle"},{"family":"Batisse-Lignier","given":"Marie"},{"family":"Assié","given":"Guillaume"},{"family":"Lefrançois-Martinez","given":"Anne-Marie"},{"family":"Bertherat","given":"Jérôme"},{"family":"Martinez","given":"Antoine"},{"family":"Val","given":"Pierre"}],"issued":{"date-parts":[["2014",2,15]]}}},{"id":20099,"uris":["http://zotero.org/users/7264361/items/X79B6D2H"],"uri":["http://zotero.org/users/7264361/items/X79B6D2H"],"itemData":{"id":20099,"type":"article-journal","abstract":"Adrenal cortex physiology relies on functional zonation, essential for production of aldosterone by outer zona glomerulosa (ZG) and glucocorticoids by inner zona fasciculata (ZF). The cortex undergoes constant cell renewal, involving recruitment of subcapsular progenitors to ZG fate and subsequent lineage conversion to ZF identity. Here we show that WNT4 is an important driver of WNT pathway activation and subsequent ZG differentiation and demonstrate that PKA activation prevents ZG differentiation through WNT4 repression and WNT pathway inhibition. This suggests that PKA activation in ZF is a key driver of WNT inhibition and lineage conversion. Furthermore, we provide evidence that constitutive PKA activation inhibits, whereas partial inactivation of PKA catalytic activity stimulates β-catenin-induced tumorigenesis. Together, both lower PKA activity and higher WNT pathway activity lead to poorer prognosis in adrenocortical carcinoma (ACC) patients. These observations suggest that PKA acts as a tumour suppressor in the adrenal cortex, through repression of WNT signalling.","container-title":"Nature Communications","DOI":"10.1038/ncomms12751","ISSN":"2041-1723","journalAbbreviation":"Nat Commun","language":"eng","note":"PMID: 27624192\nPMCID: PMC5027289","page":"12751","source":"PubMed","title":"PKA inhibits WNT signalling in adrenal cortex zonation and prevents malignant tumour development","volume":"7","author":[{"family":"Drelon","given":"Coralie"},{"family":"Berthon","given":"Annabel"},{"family":"Sahut-Barnola","given":"Isabelle"},{"family":"Mathieu","given":"Mickaël"},{"family":"Dumontet","given":"Typhanie"},{"family":"Rodriguez","given":"Stéphanie"},{"family":"Batisse-Lignier","given":"Marie"},{"family":"Tabbal","given":"Houda"},{"family":"Tauveron","given":"Igor"},{"family":"Lefrançois-Martinez","given":"Anne-Marie"},{"family":"Pointud","given":"Jean-Christophe"},{"family":"Gomez-Sanchez","given":"Celso E."},{"family":"Vainio","given":"Seppo"},{"family":"Shan","given":"Jingdong"},{"family":"Sacco","given":"Sonia"},{"family":"Schedl","given":"Andreas"},{"family":"Stratakis","given":"Constantine A."},{"family":"Martinez","given":"Antoine"},{"family":"Val","given":"Pierre"}],"issued":{"date-parts":[["2016",9,14]]}}}],"schema":"https://github.com/citation-style-language/schema/raw/master/csl-citation.json"} </w:instrText>
      </w:r>
      <w:r w:rsidR="00850015">
        <w:rPr>
          <w:sz w:val="22"/>
          <w:szCs w:val="22"/>
          <w:lang w:val="en-GB"/>
        </w:rPr>
        <w:fldChar w:fldCharType="separate"/>
      </w:r>
      <w:r w:rsidR="00850015" w:rsidRPr="00850015">
        <w:rPr>
          <w:rFonts w:ascii="Calibri" w:cs="Calibri"/>
          <w:sz w:val="22"/>
          <w:vertAlign w:val="superscript"/>
          <w:lang w:val="en-US"/>
        </w:rPr>
        <w:t>1–3</w:t>
      </w:r>
      <w:r w:rsidR="00850015">
        <w:rPr>
          <w:sz w:val="22"/>
          <w:szCs w:val="22"/>
          <w:lang w:val="en-GB"/>
        </w:rPr>
        <w:fldChar w:fldCharType="end"/>
      </w:r>
      <w:r w:rsidR="00CE416A" w:rsidRPr="00157A36">
        <w:rPr>
          <w:sz w:val="22"/>
          <w:szCs w:val="22"/>
          <w:lang w:val="en-GB"/>
        </w:rPr>
        <w:t>. We have further shown that deregulation of these two pathways resulting from mutations in their key regulators, is associated with tumour development</w:t>
      </w:r>
      <w:r w:rsidR="005A2168" w:rsidRPr="00157A36">
        <w:rPr>
          <w:sz w:val="22"/>
          <w:szCs w:val="22"/>
          <w:lang w:val="en-GB"/>
        </w:rPr>
        <w:t xml:space="preserve"> (benign and malignant)</w:t>
      </w:r>
      <w:r w:rsidR="00CE416A" w:rsidRPr="00157A36">
        <w:rPr>
          <w:sz w:val="22"/>
          <w:szCs w:val="22"/>
          <w:lang w:val="en-GB"/>
        </w:rPr>
        <w:t xml:space="preserve"> and endocrine hyperactivity of the </w:t>
      </w:r>
      <w:r w:rsidR="00F05855" w:rsidRPr="00157A36">
        <w:rPr>
          <w:sz w:val="22"/>
          <w:szCs w:val="22"/>
          <w:lang w:val="en-GB"/>
        </w:rPr>
        <w:t xml:space="preserve">adrenal </w:t>
      </w:r>
      <w:r w:rsidR="00CE416A" w:rsidRPr="00157A36">
        <w:rPr>
          <w:sz w:val="22"/>
          <w:szCs w:val="22"/>
          <w:lang w:val="en-GB"/>
        </w:rPr>
        <w:t>cortex</w:t>
      </w:r>
      <w:r w:rsidR="005A2168" w:rsidRPr="00157A36">
        <w:rPr>
          <w:sz w:val="22"/>
          <w:szCs w:val="22"/>
          <w:lang w:val="en-GB"/>
        </w:rPr>
        <w:t>.</w:t>
      </w:r>
      <w:r w:rsidR="00CE416A" w:rsidRPr="00157A36">
        <w:rPr>
          <w:sz w:val="22"/>
          <w:szCs w:val="22"/>
          <w:lang w:val="en-GB"/>
        </w:rPr>
        <w:t xml:space="preserve"> </w:t>
      </w:r>
      <w:r w:rsidR="00196CA2" w:rsidRPr="00157A36">
        <w:rPr>
          <w:sz w:val="22"/>
          <w:szCs w:val="22"/>
          <w:lang w:val="en-GB"/>
        </w:rPr>
        <w:t>Through</w:t>
      </w:r>
      <w:r w:rsidR="005A2168" w:rsidRPr="00157A36">
        <w:rPr>
          <w:sz w:val="22"/>
          <w:szCs w:val="22"/>
          <w:lang w:val="en-GB"/>
        </w:rPr>
        <w:t xml:space="preserve"> </w:t>
      </w:r>
      <w:r w:rsidR="00196CA2" w:rsidRPr="00157A36">
        <w:rPr>
          <w:sz w:val="22"/>
          <w:szCs w:val="22"/>
          <w:lang w:val="en-GB"/>
        </w:rPr>
        <w:t>our</w:t>
      </w:r>
      <w:r w:rsidR="005A2168" w:rsidRPr="00157A36">
        <w:rPr>
          <w:sz w:val="22"/>
          <w:szCs w:val="22"/>
          <w:lang w:val="en-GB"/>
        </w:rPr>
        <w:t xml:space="preserve"> strong interactions with clinical groups in France, Germany and the USA</w:t>
      </w:r>
      <w:r w:rsidR="00DA0D9F" w:rsidRPr="00157A36">
        <w:rPr>
          <w:sz w:val="22"/>
          <w:szCs w:val="22"/>
          <w:lang w:val="en-GB"/>
        </w:rPr>
        <w:t xml:space="preserve"> we have been able to translate these findings to patients with</w:t>
      </w:r>
      <w:r w:rsidR="003E084F" w:rsidRPr="00157A36">
        <w:rPr>
          <w:sz w:val="22"/>
          <w:szCs w:val="22"/>
          <w:lang w:val="en-GB"/>
        </w:rPr>
        <w:t xml:space="preserve"> adrenocortical carcinomas,</w:t>
      </w:r>
      <w:r w:rsidR="00DA0D9F" w:rsidRPr="00157A36">
        <w:rPr>
          <w:sz w:val="22"/>
          <w:szCs w:val="22"/>
          <w:lang w:val="en-GB"/>
        </w:rPr>
        <w:t xml:space="preserve"> </w:t>
      </w:r>
      <w:r w:rsidR="007D69EE">
        <w:rPr>
          <w:sz w:val="22"/>
          <w:szCs w:val="22"/>
          <w:lang w:val="en-GB"/>
        </w:rPr>
        <w:t>aldosterone producing adenomas and cortisol producing adenomas</w:t>
      </w:r>
      <w:r w:rsidR="00DA0D9F" w:rsidRPr="00157A36">
        <w:rPr>
          <w:sz w:val="22"/>
          <w:szCs w:val="22"/>
          <w:lang w:val="en-GB"/>
        </w:rPr>
        <w:t xml:space="preserve"> </w:t>
      </w:r>
      <w:r w:rsidR="00850015">
        <w:rPr>
          <w:sz w:val="22"/>
          <w:szCs w:val="22"/>
          <w:lang w:val="en-GB"/>
        </w:rPr>
        <w:fldChar w:fldCharType="begin"/>
      </w:r>
      <w:r w:rsidR="009447C5">
        <w:rPr>
          <w:sz w:val="22"/>
          <w:szCs w:val="22"/>
          <w:lang w:val="en-GB"/>
        </w:rPr>
        <w:instrText xml:space="preserve"> ADDIN ZOTERO_ITEM CSL_CITATION {"citationID":"pMJ5Yxjk","properties":{"formattedCitation":"\\super 1,4\\uc0\\u8211{}9\\nosupersub{}","plainCitation":"1,4–9","noteIndex":0},"citationItems":[{"id":1364,"uris":["http://zotero.org/groups/2664558/items/Q7QAXDPK"],"uri":["http://zotero.org/groups/2664558/items/Q7QAXDPK"],"itemData":{"id":1364,"type":"article-journal","abstract":"Adrenocortical carcinoma is a rare but aggressive cancer with unknown aetiology. Constitutive activation of beta-catenin is the most frequent alteration in benign and malignant adrenocortical tumours in patients. Here, we show that constitutive activation of beta-catenin in the adrenal cortex of transgenic mice resulted in progressive steroidogenic and undifferentiated spindle-shaped cells hyperplasia as well as dysplasia of the cortex and medulla. Over a 17 months time course, transgenic adrenals developed malignant characteristics such as uncontrolled neovascularization and loco-regional metastatic invasion. These oncogenic events were accompanied by ectopic differentiation of glomerulosa at the expense of fasciculata cells, which caused primary hyperaldosteronism. Altogether these observations demonstrate that constitutively active beta-catenin is an adrenal oncogene which triggers benign aldosterone-secreting tumour development and promotes malignancy.","container-title":"Hum Mol Genet","DOI":"ddq029 [pii] 10.1093/hmg/ddq029","ISSN":"1460-2083 (ELECTRONIC) 0964-6906 (LINKING)","issue":"8","note":"number: 8","page":"1561-1576","title":"Constitutive {beta}-catenin activation induces adrenal hyperplasia and promotes adrenal cancer development","volume":"19","author":[{"family":"Berthon","given":"A."},{"family":"Sahut-Barnola","given":"I."},{"family":"Lambert-Langlais","given":"S."},{"family":"Joussineau","given":"C.","non-dropping-particle":"de"},{"family":"Damon-Soubeyrand","given":"C."},{"family":"Louiset","given":"E."},{"family":"Taketo","given":"M. M."},{"family":"Tissier","given":"F."},{"family":"Bertherat","given":"J."},{"family":"Lefrancois-Martinez","given":"A. M."},{"family":"Martinez","given":"A."},{"family":"Val","given":"P."}],"issued":{"date-parts":[["2010"]]}}},{"id":923,"uris":["http://zotero.org/groups/2664558/items/9W9563VA"],"uri":["http://zotero.org/groups/2664558/items/9W9563VA"],"itemData":{"id":923,"type":"article-journal","abstract":"Adrenocortical carcinoma (ACC) is a rare cancer with poor prognosis. Pan-genomic analyses identified p53/Rb and WNT/β-catenin signaling pathways as main contributors to the disease. However, isolated β-catenin constitutive activation failed to induce malignant progression in mouse adrenocortical tumors. Therefore, there still was a need for a relevant animal model to study ACC pathogenesis and to test new therapeutic approaches. Here, we have developed a transgenic mice model with adrenocortical specific expression of SV40 large T-antigen (AdTAg mice), to test the oncogenic potential of p53/Rb inhibition in the adrenal gland. All AdTAg mice develop large adrenal carcinomas that eventually metastasize to the liver and lungs, resulting in decreased overall survival. Consistent with ACC in patients, adrenal tumors in AdTAg mice autonomously produce large amounts of glucocorticoids and spontaneously activate WNT/β-catenin signaling pathway during malignant progression. We show that this activation is associated with downregulation of secreted frizzled related proteins (Sfrp) and Znrf3 that act as inhibitors of the WNT signaling. We also show that mTORC1 pathway activation is an early event during neoplasia expansion and further demonstrate that mTORC1 pathway is activated in ACC patients. Preclinical inhibition of mTORC1 activity induces a marked reduction in tumor size, associated with induction of apoptosis and inhibition of proliferation that results in normalization of corticosterone plasma levels in AdTAg mice. Altogether, these data establish AdTAg mice as the first preclinical model for metastatic ACC.Oncogene advance online publication, 3 April 2017; doi:10.1038/onc.2017.54.","container-title":"Oncogene","DOI":"10.1038/onc.2017.54","ISSN":"1476-5594","issue":"31","journalAbbreviation":"Oncogene","language":"eng","note":"number: 31\nPMID: 28368424","page":"4445-4456","source":"PubMed","title":"P53/Rb inhibition induces metastatic adrenocortical carcinomas in a preclinical transgenic model","volume":"36","author":[{"family":"Batisse-Lignier","given":"M."},{"family":"Sahut-Barnola","given":"I."},{"family":"Tissier","given":"F."},{"family":"Dumontet","given":"T."},{"family":"Mathieu","given":"M."},{"family":"Drelon","given":"C."},{"family":"Pointud","given":"J.-C."},{"family":"Damon-Soubeyrand","given":"C."},{"family":"Marceau","given":"G."},{"family":"Kemeny","given":"J.-L."},{"family":"Bertherat","given":"J."},{"family":"Tauveron","given":"I."},{"family":"Val","given":"P."},{"family":"Martinez","given":"A."},{"family":"Lefrançois-Martinez","given":"A.-M."}],"issued":{"date-parts":[["2017",4,3]]}}},{"id":1094,"uris":["http://zotero.org/groups/2664558/items/Z5IJCZDI"],"uri":["http://zotero.org/groups/2664558/items/Z5IJCZDI"],"itemData":{"id":1094,"type":"article-journal","container-title":"PLoS One","DOI":"10.1371/journal.pone.0044171","issue":"8","language":"English","note":"number: 8","page":"e44171","title":"Analysis of the role of Igf2 in adrenal tumour development in transgenic mouse models","volume":"7","author":[{"family":"Drelon","given":"Coralie"},{"family":"Berthon","given":"Annabel"},{"family":"Ragazzon","given":"Bruno"},{"family":"Tissier","given":"Frédérique"},{"family":"Bandiera","given":"Roberto"},{"family":"Sahut-Barnola","given":"Isabelle"},{"family":"De Joussineau","given":"Cyrille"},{"family":"Batisse-Lignier","given":"Marie"},{"family":"Lefrançois-Martinez","given":"Anne-Marie"},{"family":"Bertherat","given":"Jérôme"},{"family":"Martinez","given":"Antoine"},{"family":"Val","given":"Pierre"}],"issued":{"date-parts":[["2012",8]]}}},{"id":118,"uris":["http://zotero.org/groups/2664558/items/HDN3YRKC"],"uri":["http://zotero.org/groups/2664558/items/HDN3YRKC"],"itemData":{"id":118,"type":"article-journal","abstract":"The adrenal cortex undergoes remodeling during fetal and postnatal life. How zona reticularis emerges in the postnatal gland to support adrenarche, a process whereby higher primates increase prepubertal androgen secretion, is unknown. Using cell-fate mapping and gene deletion studies in mice, we show that activation of PKA has no effect on the fetal cortex, while it accelerates regeneration of the adult cortex, triggers zona fasciculata differentiation that is subsequently converted into a functional reticularis-like zone, and drives hypersecretion syndromes. Remarkably, PKA effects are influenced by sex. Indeed, testicular androgens increase WNT signaling that antagonizes PKA, leading to slower adrenocortical cell turnover and delayed phenotype whereas gonadectomy sensitizes males to hypercorticism and reticularis-like formation. Thus, reticularis results from ultimate centripetal conversion of adult cortex under the combined effects of PKA and cell turnover that dictate organ size. We show that PKA-induced progenitor recruitment is sexually dimorphic and may provide a paradigm for overrepresentation of women in adrenal diseases.","container-title":"JCI insight","DOI":"10.1172/jci.insight.98394","ISSN":"2379-3708","issue":"2","journalAbbreviation":"JCI Insight","language":"eng","note":"PMID: 29367455\nPMCID: PMC5821213","source":"PubMed","title":"PKA signaling drives reticularis differentiation and sexually dimorphic adrenal cortex renewal","volume":"3","author":[{"family":"Dumontet","given":"Typhanie"},{"family":"Sahut-Barnola","given":"Isabelle"},{"family":"Septier","given":"Amandine"},{"family":"Montanier","given":"Nathanaëlle"},{"family":"Plotton","given":"Ingrid"},{"family":"Roucher-Boulez","given":"Florence"},{"family":"Ducros","given":"Véronique"},{"family":"Lefrançois-Martinez","given":"Anne-Marie"},{"family":"Pointud","given":"Jean-Christophe"},{"family":"Zubair","given":"Mohamad"},{"family":"Morohashi","given":"Ken-Ichirou"},{"family":"Breault","given":"David T."},{"family":"Val","given":"Pierre"},{"family":"Martinez","given":"Antoine"}],"issued":{"date-parts":[["2018",1,25]]}}},{"id":160,"uris":["http://zotero.org/groups/2664558/items/S2EGB4II"],"uri":["http://zotero.org/groups/2664558/items/S2EGB4II"],"itemData":{"id":160,"type":"article-journal","abstract":"Carney complex (CNC) is an inherited neoplasia syndrome with endocrine overactivity. Its most frequent endocrine manifestation is primary pigmented nodular adrenocortical disease (PPNAD), a bilateral adrenocortical hyperplasia causing pituitary-independent Cushing's syndrome. Inactivating mutations in PRKAR1A, a gene encoding the type 1 alpha-regulatory subunit (R1alpha) of the cAMP-dependent protein kinase (PKA) have been found in 80% of CNC patients with Cushing's syndrome. To demonstrate the implication of R1alpha loss in the initiation and development of PPNAD, we generated mice lacking Prkar1a specifically in the adrenal cortex (AdKO). AdKO mice develop pituitary-independent Cushing's syndrome with increased PKA activity. This leads to autonomous steroidogenic genes expression and deregulated adreno-cortical cells differentiation, increased proliferation and resistance to apoptosis. Unexpectedly, R1alpha loss results in improper maintenance and centrifugal expansion of cortisol-producing fetal adrenocortical cells with concomitant regression of adult cortex. Our data provide the first in vivo evidence that loss of R1alpha is sufficient to induce autonomous adrenal hyper-activity and bilateral hyperplasia, both observed in human PPNAD. Furthermore, this model demonstrates that deregulated PKA activity favors the emergence of a new cell population potentially arising from the fetal adrenal, giving new insight into the mechanisms leading to PPNAD.","container-title":"PloS Genet","DOI":"10.1371/journal.pgen.1000980","ISSN":"1553-7404 (ELECTRONIC) 1553-7390 (LINKING)","issue":"6","note":"number: 6","page":"e1000980","title":"Cushing's syndrome and fetal features resurgence in adrenal cortex-specific Prkar1a knockout mice","volume":"6","author":[{"family":"Sahut-Barnola","given":"I."},{"family":"Joussineau","given":"C.","non-dropping-particle":"de"},{"family":"Val","given":"P."},{"family":"Lambert-Langlais","given":"S."},{"family":"Damon","given":"C."},{"family":"Lefrancois-Martinez","given":"A. M."},{"family":"Pointud","given":"J. C."},{"family":"Marceau","given":"G."},{"family":"Sapin","given":"V."},{"family":"Tissier","given":"F."},{"family":"Ragazzon","given":"B."},{"family":"Bertherat","given":"J."},{"family":"Kirschner","given":"L. S."},{"family":"Stratakis","given":"C. A."},{"family":"Martinez","given":"A."}],"issued":{"date-parts":[["2010"]]}}},{"id":2494,"uris":["http://zotero.org/groups/2664558/items/3DU5UZUV"],"uri":["http://zotero.org/groups/2664558/items/3DU5UZUV"],"itemData":{"id":2494,"type":"article-journal","abstract":"Spatiotemporal control of Wnt signaling is essential for the development and homeostasis of many tissues. The transmembrane E3 ubiquitin ligases ZNRF3 (zinc and ring finger 3) and RNF43 (ring finger protein 43) antagonize Wnt signaling by promoting degradation of frizzled receptors. ZNRF3 and RNF43 are frequently inactivated in human cancer, but the molecular and therapeutic implications remain unclear. Here, we demonstrate that adrenocortical-specific loss of ZNRF3, but not RNF43, results in adrenal hyperplasia that depends on Porcupine-mediated Wnt ligand secretion. Furthermore, we discovered a Wnt/β-catenin signaling gradient in the adrenal cortex that is disrupted upon loss of ZNRF3. Unlike β-catenin gain-of-function models, which induce high Wnt/β-catenin activation and expansion of the peripheral cortex, ZNRF3 loss triggers activation of moderate-level Wnt/β-catenin signaling that drives proliferative expansion of only the histologically and functionally distinct inner cortex. Genetically reducing β-catenin dosage significantly reverses the ZNRF3-deficient phenotype. Thus, homeostatic maintenance of the adrenal cortex is dependent on varying levels of Wnt/β-catenin activation, which is regulated by ZNRF3.","container-title":"Genes &amp; Development","DOI":"10.1101/gad.317412.118","ISSN":"1549-5477","issue":"3-4","journalAbbreviation":"Genes Dev.","language":"eng","note":"number: 3-4\nPMID: 30692207","page":"209-220","source":"PubMed","title":"A ZNRF3-dependent Wnt/β-catenin signaling gradient is required for adrenal homeostasis","volume":"33","author":[{"family":"Basham","given":"Kaitlin J."},{"family":"Rodriguez","given":"Stéphanie"},{"family":"Turcu","given":"Adina F."},{"family":"Lerario","given":"Antonio M."},{"family":"Logan","given":"Catriona Y."},{"family":"Rysztak","given":"Madeline R."},{"family":"Gomez-Sanchez","given":"Celso E."},{"family":"Breault","given":"David T."},{"family":"Koo","given":"Bon-Kyoung"},{"family":"Clevers","given":"Hans"},{"family":"Nusse","given":"Roeland"},{"family":"Val","given":"Pierre"},{"family":"Hammer","given":"Gary D."}],"issued":{"date-parts":[["2019"]],"season":"01"}}},{"id":32066,"uris":["http://zotero.org/groups/2664558/items/BMARVTVU"],"uri":["http://zotero.org/groups/2664558/items/BMARVTVU"],"itemData":{"id":32066,"type":"article-journal","container-title":"The New England Journal of Medicine","DOI":"10.1056/NEJMc1514508","ISSN":"1533-4406","issue":"15","journalAbbreviation":"N Engl J Med","language":"eng","note":"PMID: 27074082","page":"1493-1494","source":"PubMed","title":"Pregnancy, Primary Aldosteronism, and Somatic CTNNB1 Mutations","volume":"374","author":[{"family":"Berthon","given":"Annabel"},{"family":"Drelon","given":"Coralie"},{"family":"Val","given":"Pierre"}],"issued":{"date-parts":[["2016",4,14]]}}}],"schema":"https://github.com/citation-style-language/schema/raw/master/csl-citation.json"} </w:instrText>
      </w:r>
      <w:r w:rsidR="00850015">
        <w:rPr>
          <w:sz w:val="22"/>
          <w:szCs w:val="22"/>
          <w:lang w:val="en-GB"/>
        </w:rPr>
        <w:fldChar w:fldCharType="separate"/>
      </w:r>
      <w:r w:rsidR="009447C5" w:rsidRPr="009447C5">
        <w:rPr>
          <w:rFonts w:ascii="Calibri" w:cs="Calibri"/>
          <w:sz w:val="22"/>
          <w:vertAlign w:val="superscript"/>
          <w:lang w:val="en-US"/>
        </w:rPr>
        <w:t>1,4–9</w:t>
      </w:r>
      <w:r w:rsidR="00850015">
        <w:rPr>
          <w:sz w:val="22"/>
          <w:szCs w:val="22"/>
          <w:lang w:val="en-GB"/>
        </w:rPr>
        <w:fldChar w:fldCharType="end"/>
      </w:r>
      <w:r w:rsidR="00CE416A" w:rsidRPr="00157A36">
        <w:rPr>
          <w:sz w:val="22"/>
          <w:szCs w:val="22"/>
          <w:lang w:val="en-GB"/>
        </w:rPr>
        <w:t>.</w:t>
      </w:r>
      <w:r w:rsidR="00F05855" w:rsidRPr="00157A36">
        <w:rPr>
          <w:sz w:val="22"/>
          <w:szCs w:val="22"/>
          <w:lang w:val="en-GB"/>
        </w:rPr>
        <w:t xml:space="preserve"> Building on these findings, we also demonstrated a </w:t>
      </w:r>
      <w:r w:rsidR="00DA0D9F" w:rsidRPr="00157A36">
        <w:rPr>
          <w:sz w:val="22"/>
          <w:szCs w:val="22"/>
          <w:lang w:val="en-GB"/>
        </w:rPr>
        <w:t xml:space="preserve">central </w:t>
      </w:r>
      <w:r w:rsidR="00F05855" w:rsidRPr="00157A36">
        <w:rPr>
          <w:sz w:val="22"/>
          <w:szCs w:val="22"/>
          <w:lang w:val="en-GB"/>
        </w:rPr>
        <w:t xml:space="preserve">role of post-translational modifications (histone methylation and </w:t>
      </w:r>
      <w:proofErr w:type="spellStart"/>
      <w:r w:rsidR="00F05855" w:rsidRPr="00157A36">
        <w:rPr>
          <w:sz w:val="22"/>
          <w:szCs w:val="22"/>
          <w:lang w:val="en-GB"/>
        </w:rPr>
        <w:t>sumoylation</w:t>
      </w:r>
      <w:proofErr w:type="spellEnd"/>
      <w:r w:rsidR="00F05855" w:rsidRPr="00157A36">
        <w:rPr>
          <w:sz w:val="22"/>
          <w:szCs w:val="22"/>
          <w:lang w:val="en-GB"/>
        </w:rPr>
        <w:t xml:space="preserve">) in fine tuning response of </w:t>
      </w:r>
      <w:r w:rsidR="006D19D4">
        <w:rPr>
          <w:sz w:val="22"/>
          <w:szCs w:val="22"/>
          <w:lang w:val="en-GB"/>
        </w:rPr>
        <w:t>PKA/WNT</w:t>
      </w:r>
      <w:r w:rsidR="00F05855" w:rsidRPr="00157A36">
        <w:rPr>
          <w:sz w:val="22"/>
          <w:szCs w:val="22"/>
          <w:lang w:val="en-GB"/>
        </w:rPr>
        <w:t xml:space="preserve"> pathways </w:t>
      </w:r>
      <w:r w:rsidR="006D19D4">
        <w:rPr>
          <w:sz w:val="22"/>
          <w:szCs w:val="22"/>
          <w:lang w:val="en-GB"/>
        </w:rPr>
        <w:t xml:space="preserve">and we </w:t>
      </w:r>
      <w:r w:rsidR="007D69EE">
        <w:rPr>
          <w:sz w:val="22"/>
          <w:szCs w:val="22"/>
          <w:lang w:val="en-GB"/>
        </w:rPr>
        <w:t>found that alterations of these modifications are associated with adrenal insufficiency</w:t>
      </w:r>
      <w:r w:rsidR="006D19D4">
        <w:rPr>
          <w:sz w:val="22"/>
          <w:szCs w:val="22"/>
          <w:lang w:val="en-GB"/>
        </w:rPr>
        <w:fldChar w:fldCharType="begin"/>
      </w:r>
      <w:r w:rsidR="006D19D4">
        <w:rPr>
          <w:sz w:val="22"/>
          <w:szCs w:val="22"/>
          <w:lang w:val="en-GB"/>
        </w:rPr>
        <w:instrText xml:space="preserve"> ADDIN ZOTERO_ITEM CSL_CITATION {"citationID":"SjQ137Qf","properties":{"formattedCitation":"\\super 10,11\\nosupersub{}","plainCitation":"10,11","noteIndex":0},"citationItems":[{"id":2256,"uris":["http://zotero.org/groups/2664558/items/Q73QSMR3"],"uri":["http://zotero.org/groups/2664558/items/Q73QSMR3"],"itemData":{"id":2256,"type":"article-journal","abstract":"Adrenal cortex steroids are essential for body homeostasis, and adrenal insufficiency is a life-threatening condition. Adrenal endocrine activity is maintained through recruitment of subcapsular progenitor cells that follow a unidirectional differentiation path from zona glomerulosa to zona fasciculata (zF). Here, we show that this unidirectionality is ensured by the histone methyltransferase EZH2. Indeed, we demonstrate that EZH2 maintains adrenal steroidogenic cell differentiation by preventing expression of GATA4 and WT1 that cause abnormal dedifferentiation to a progenitor-like state in Ezh2 KO adrenals. EZH2 further ensures normal cortical differentiation by programming cells for optimal response to adrenocorticotrophic hormone (ACTH)/PKA signaling. This is achieved by repression of phosphodiesterases PDE1B, 3A, and 7A and of PRKAR1B. Consequently, EZH2 ablation results in blunted zF differentiation and primary glucocorticoid insufficiency. These data demonstrate an all-encompassing role for EZH2 in programming steroidogenic cells for optimal response to differentiation signals and in maintaining their differentiated state.","container-title":"Proceedings of the National Academy of Sciences of the United States of America","DOI":"10.1073/pnas.1809185115","ISSN":"1091-6490","issue":"52","journalAbbreviation":"Proc Natl Acad Sci U S A","language":"eng","note":"number: 52\nPMID: 30541888\nPMCID: PMC6310834","page":"E12265-E12274","source":"PubMed","title":"Steroidogenic differentiation and PKA signaling are programmed by histone methyltransferase EZH2 in the adrenal cortex","volume":"115","author":[{"family":"Mathieu","given":"Mickael"},{"family":"Drelon","given":"Coralie"},{"family":"Rodriguez","given":"Stéphanie"},{"family":"Tabbal","given":"Houda"},{"family":"Septier","given":"Amandine"},{"family":"Damon-Soubeyrand","given":"Christelle"},{"family":"Dumontet","given":"Typhanie"},{"family":"Berthon","given":"Annabel"},{"family":"Sahut-Barnola","given":"Isabelle"},{"family":"Djari","given":"Cyril"},{"family":"Batisse-Lignier","given":"Marie"},{"family":"Pointud","given":"Jean-Christophe"},{"family":"Richard","given":"Damien"},{"family":"Kerdivel","given":"Gwenneg"},{"family":"Calméjane","given":"Marie-Ange"},{"family":"Boeva","given":"Valentina"},{"family":"Tauveron","given":"Igor"},{"family":"Lefrançois-Martinez","given":"Anne-Marie"},{"family":"Martinez","given":"Antoine"},{"family":"Val","given":"Pierre"}],"issued":{"date-parts":[["2018"]],"season":"26"}}},{"id":1656,"uris":["http://zotero.org/groups/2664558/items/RFPSIHP5"],"uri":["http://zotero.org/groups/2664558/items/RFPSIHP5"],"itemData":{"id":1656,"type":"article-journal","abstract":"SUMOylation is a highly conserved and dynamic post-translational mechanism primarily affecting nuclear programs for adapting organisms to stressful challenges. Alteration of SUMOylation cycles leads to severe developmental and homeostatic defects and malignancy, but signals coordinating SUMOylation are still unidentified. The adrenal cortex is a zonated endocrine gland that controls body homeostasis and stress response. Here, we show that in human and in mouse adrenals, SUMOylation follows a decreasing centripetal gradient that mirrors cortical differentiation flow and delimits highly and weakly SUMOylated steroidogenic compartments, overlapping glomerulosa, and fasciculata zones. Activation of PKA signaling by acute hormonal treatment, mouse genetic engineering, or in Carney complex results in repression of small ubiquitin-like modifier (SUMO) conjugation in the inner cortex by coordinating expression of SUMO pathway inducers and repressors. Conversely, genetic activation of canonical wingless-related integration site signaling maintains high SUMOylation potential in the outer neoplastic cortex. Thus, SUMOylation is tightly regulated by signaling pathways that orchestrate adrenal zonation and diseases.-Dumontet, T., Sahut-Barnola, I., Dufour, D., Lefrançois-Martinez, A.-M., Berthon, A., Montanier, N., Ragazzon, B., Djari, C., Pointud, J.-C., Roucher-Boulez, F., Batisse-Lignier, M., Tauveron, I., Bertherat, J., Val, P., Martinez, A. Hormonal and spatial control of SUMOylation in the human and mouse adrenal cortex.","container-title":"FASEB journal: official publication of the Federation of American Societies for Experimental Biology","DOI":"10.1096/fj.201900557R","ISSN":"1530-6860","issue":"9","journalAbbreviation":"FASEB J.","language":"eng","note":"number: 9\nPMID: 31208233","page":"10218-10230","source":"PubMed","title":"Hormonal and spatial control of SUMOylation in the human and mouse adrenal cortex","volume":"33","author":[{"family":"Dumontet","given":"Typhanie"},{"family":"Sahut-Barnola","given":"Isabelle"},{"family":"Dufour","given":"Damien"},{"family":"Lefrançois-Martinez","given":"Anne-Marie"},{"family":"Berthon","given":"Annabel"},{"family":"Montanier","given":"Nathanaëlle"},{"family":"Ragazzon","given":"Bruno"},{"family":"Djari","given":"Cyril"},{"family":"Pointud","given":"Jean-Christophe"},{"family":"Roucher-Boulez","given":"Florence"},{"family":"Batisse-Lignier","given":"Marie"},{"family":"Tauveron","given":"Igor"},{"family":"Bertherat","given":"Jérôme"},{"family":"Val","given":"Pierre"},{"family":"Martinez","given":"Antoine"}],"issued":{"date-parts":[["2019"]]}}}],"schema":"https://github.com/citation-style-language/schema/raw/master/csl-citation.json"} </w:instrText>
      </w:r>
      <w:r w:rsidR="006D19D4">
        <w:rPr>
          <w:sz w:val="22"/>
          <w:szCs w:val="22"/>
          <w:lang w:val="en-GB"/>
        </w:rPr>
        <w:fldChar w:fldCharType="separate"/>
      </w:r>
      <w:r w:rsidR="006D19D4" w:rsidRPr="007D69EE">
        <w:rPr>
          <w:rFonts w:ascii="Calibri" w:cs="Calibri"/>
          <w:sz w:val="22"/>
          <w:vertAlign w:val="superscript"/>
          <w:lang w:val="en-US"/>
        </w:rPr>
        <w:t>10,11</w:t>
      </w:r>
      <w:r w:rsidR="006D19D4">
        <w:rPr>
          <w:sz w:val="22"/>
          <w:szCs w:val="22"/>
          <w:lang w:val="en-GB"/>
        </w:rPr>
        <w:fldChar w:fldCharType="end"/>
      </w:r>
      <w:r w:rsidR="007D69EE">
        <w:rPr>
          <w:sz w:val="22"/>
          <w:szCs w:val="22"/>
          <w:lang w:val="en-GB"/>
        </w:rPr>
        <w:t xml:space="preserve">. </w:t>
      </w:r>
      <w:proofErr w:type="spellStart"/>
      <w:r w:rsidR="0098307A" w:rsidRPr="00157A36">
        <w:rPr>
          <w:sz w:val="22"/>
          <w:szCs w:val="22"/>
          <w:lang w:val="en-GB"/>
        </w:rPr>
        <w:t>Our</w:t>
      </w:r>
      <w:proofErr w:type="spellEnd"/>
      <w:r w:rsidR="0098307A" w:rsidRPr="00157A36">
        <w:rPr>
          <w:sz w:val="22"/>
          <w:szCs w:val="22"/>
          <w:lang w:val="en-GB"/>
        </w:rPr>
        <w:t xml:space="preserve"> models of WNT pathway deregulation also uncovered an undisclosed sexually dimorphic role of macrophages in preventing tumour progression in the adrenal cortex.</w:t>
      </w:r>
    </w:p>
    <w:p w14:paraId="3EC0D3B6" w14:textId="77777777" w:rsidR="0098307A" w:rsidRPr="00157A36" w:rsidRDefault="0098307A" w:rsidP="0098307A">
      <w:pPr>
        <w:jc w:val="both"/>
        <w:rPr>
          <w:sz w:val="22"/>
          <w:szCs w:val="22"/>
          <w:lang w:val="en-GB"/>
        </w:rPr>
      </w:pPr>
    </w:p>
    <w:p w14:paraId="6BBE0149" w14:textId="66ABEF49" w:rsidR="00FC7BEE" w:rsidRPr="00157A36" w:rsidRDefault="00196CA2" w:rsidP="0098307A">
      <w:pPr>
        <w:jc w:val="both"/>
        <w:rPr>
          <w:sz w:val="22"/>
          <w:szCs w:val="22"/>
          <w:lang w:val="en-GB"/>
        </w:rPr>
      </w:pPr>
      <w:r w:rsidRPr="00157A36">
        <w:rPr>
          <w:sz w:val="22"/>
          <w:szCs w:val="22"/>
          <w:lang w:val="en-GB"/>
        </w:rPr>
        <w:t>Our current projects</w:t>
      </w:r>
      <w:r w:rsidR="006D19D4">
        <w:rPr>
          <w:sz w:val="22"/>
          <w:szCs w:val="22"/>
          <w:lang w:val="en-GB"/>
        </w:rPr>
        <w:t xml:space="preserve"> funded by ANR and “Ligue </w:t>
      </w:r>
      <w:proofErr w:type="spellStart"/>
      <w:r w:rsidR="006D19D4">
        <w:rPr>
          <w:sz w:val="22"/>
          <w:szCs w:val="22"/>
          <w:lang w:val="en-GB"/>
        </w:rPr>
        <w:t>Contre</w:t>
      </w:r>
      <w:proofErr w:type="spellEnd"/>
      <w:r w:rsidR="006D19D4">
        <w:rPr>
          <w:sz w:val="22"/>
          <w:szCs w:val="22"/>
          <w:lang w:val="en-GB"/>
        </w:rPr>
        <w:t xml:space="preserve"> le Cancer” grants,</w:t>
      </w:r>
      <w:r w:rsidRPr="00157A36">
        <w:rPr>
          <w:sz w:val="22"/>
          <w:szCs w:val="22"/>
          <w:lang w:val="en-GB"/>
        </w:rPr>
        <w:t xml:space="preserve"> aim at understanding how sex-specific regulation of PKA, WNT and SUMO signalling pathways results in sexually dimorphic adrenal differentiation and renewal, and how this may explain the strong female bias in adrenal diseases. We also aim at deciphering the complex </w:t>
      </w:r>
      <w:r w:rsidR="006D19D4">
        <w:rPr>
          <w:sz w:val="22"/>
          <w:szCs w:val="22"/>
          <w:lang w:val="en-GB"/>
        </w:rPr>
        <w:t xml:space="preserve">interplay </w:t>
      </w:r>
      <w:r w:rsidR="0098307A" w:rsidRPr="00157A36">
        <w:rPr>
          <w:sz w:val="22"/>
          <w:szCs w:val="22"/>
          <w:lang w:val="en-GB"/>
        </w:rPr>
        <w:t>between sex hormones, adrenal cortex cells and</w:t>
      </w:r>
      <w:r w:rsidRPr="00157A36">
        <w:rPr>
          <w:sz w:val="22"/>
          <w:szCs w:val="22"/>
          <w:lang w:val="en-GB"/>
        </w:rPr>
        <w:t xml:space="preserve"> macrophages in both adrenal differentiation and </w:t>
      </w:r>
      <w:r w:rsidR="0070303B" w:rsidRPr="00157A36">
        <w:rPr>
          <w:sz w:val="22"/>
          <w:szCs w:val="22"/>
          <w:lang w:val="en-GB"/>
        </w:rPr>
        <w:t>carcinogenesis</w:t>
      </w:r>
      <w:r w:rsidR="0098307A" w:rsidRPr="00157A36">
        <w:rPr>
          <w:sz w:val="22"/>
          <w:szCs w:val="22"/>
          <w:lang w:val="en-GB"/>
        </w:rPr>
        <w:t xml:space="preserve">. Our </w:t>
      </w:r>
      <w:proofErr w:type="gramStart"/>
      <w:r w:rsidR="0098307A" w:rsidRPr="00157A36">
        <w:rPr>
          <w:sz w:val="22"/>
          <w:szCs w:val="22"/>
          <w:lang w:val="en-GB"/>
        </w:rPr>
        <w:t>ultimate goal</w:t>
      </w:r>
      <w:proofErr w:type="gramEnd"/>
      <w:r w:rsidR="0098307A" w:rsidRPr="00157A36">
        <w:rPr>
          <w:sz w:val="22"/>
          <w:szCs w:val="22"/>
          <w:lang w:val="en-GB"/>
        </w:rPr>
        <w:t xml:space="preserve"> is to find new targetable</w:t>
      </w:r>
      <w:r w:rsidR="00A11E4F">
        <w:rPr>
          <w:sz w:val="22"/>
          <w:szCs w:val="22"/>
          <w:lang w:val="en-GB"/>
        </w:rPr>
        <w:t xml:space="preserve"> molecular</w:t>
      </w:r>
      <w:r w:rsidR="0098307A" w:rsidRPr="00157A36">
        <w:rPr>
          <w:sz w:val="22"/>
          <w:szCs w:val="22"/>
          <w:lang w:val="en-GB"/>
        </w:rPr>
        <w:t xml:space="preserve"> mechanisms and cell populations to develop novel treatments for adrenal diseases</w:t>
      </w:r>
      <w:r w:rsidR="000E2DFF">
        <w:rPr>
          <w:sz w:val="22"/>
          <w:szCs w:val="22"/>
          <w:lang w:val="en-GB"/>
        </w:rPr>
        <w:t>. Availability of our large collection of genetically engineered mice, will allow rapid evaluation of these therapeutic options, in clinically relevant models.</w:t>
      </w:r>
    </w:p>
    <w:p w14:paraId="1A759146" w14:textId="77777777" w:rsidR="00FC7BEE" w:rsidRPr="00157A36" w:rsidRDefault="00FC7BEE" w:rsidP="0098307A">
      <w:pPr>
        <w:jc w:val="both"/>
        <w:rPr>
          <w:sz w:val="22"/>
          <w:szCs w:val="22"/>
          <w:lang w:val="en-GB"/>
        </w:rPr>
      </w:pPr>
    </w:p>
    <w:p w14:paraId="22B5A65F" w14:textId="53F56958" w:rsidR="00157A36" w:rsidRPr="00157A36" w:rsidRDefault="00157A36" w:rsidP="00157A36">
      <w:pPr>
        <w:jc w:val="both"/>
        <w:rPr>
          <w:b/>
          <w:bCs/>
          <w:sz w:val="22"/>
          <w:szCs w:val="22"/>
          <w:lang w:val="en-GB"/>
        </w:rPr>
      </w:pPr>
      <w:r>
        <w:rPr>
          <w:b/>
          <w:bCs/>
          <w:sz w:val="22"/>
          <w:szCs w:val="22"/>
          <w:lang w:val="en-GB"/>
        </w:rPr>
        <w:t>Research Environment</w:t>
      </w:r>
    </w:p>
    <w:p w14:paraId="3B4169DD" w14:textId="1177F1FA" w:rsidR="00157A36" w:rsidRPr="00AF1137" w:rsidRDefault="00157A36" w:rsidP="00157A36">
      <w:pPr>
        <w:jc w:val="both"/>
        <w:rPr>
          <w:rFonts w:ascii="Calibri" w:hAnsi="Calibri" w:cs="Calibri"/>
          <w:sz w:val="22"/>
          <w:szCs w:val="22"/>
          <w:lang w:val="en-US"/>
        </w:rPr>
      </w:pPr>
      <w:r w:rsidRPr="00157A36">
        <w:rPr>
          <w:rFonts w:ascii="Calibri" w:hAnsi="Calibri" w:cs="Calibri"/>
          <w:sz w:val="22"/>
          <w:szCs w:val="22"/>
          <w:lang w:val="en-US"/>
        </w:rPr>
        <w:t xml:space="preserve">The </w:t>
      </w:r>
      <w:proofErr w:type="spellStart"/>
      <w:r w:rsidRPr="00157A36">
        <w:rPr>
          <w:rFonts w:ascii="Calibri" w:hAnsi="Calibri" w:cs="Calibri"/>
          <w:sz w:val="22"/>
          <w:szCs w:val="22"/>
          <w:lang w:val="en-US"/>
        </w:rPr>
        <w:t>GReD</w:t>
      </w:r>
      <w:proofErr w:type="spellEnd"/>
      <w:r w:rsidRPr="00157A36">
        <w:rPr>
          <w:rFonts w:ascii="Calibri" w:hAnsi="Calibri" w:cs="Calibri"/>
          <w:sz w:val="22"/>
          <w:szCs w:val="22"/>
          <w:lang w:val="en-US"/>
        </w:rPr>
        <w:t xml:space="preserve"> institute is a highly dynamic workplace, setup in a brand-new building hosting state of the art facilities (automated histopathology, high-end confocal and brightfield microscopy, high-capacity mouse facilities, bioinformatics, tissue culture...)</w:t>
      </w:r>
      <w:r w:rsidR="00AF1137">
        <w:rPr>
          <w:rFonts w:ascii="Calibri" w:hAnsi="Calibri" w:cs="Calibri"/>
          <w:sz w:val="22"/>
          <w:szCs w:val="22"/>
          <w:lang w:val="en-US"/>
        </w:rPr>
        <w:t xml:space="preserve"> (</w:t>
      </w:r>
      <w:hyperlink r:id="rId5" w:history="1">
        <w:r w:rsidR="00AF1137" w:rsidRPr="00DD0EEC">
          <w:rPr>
            <w:rStyle w:val="Lienhypertexte"/>
            <w:rFonts w:ascii="Calibri" w:hAnsi="Calibri" w:cs="Calibri"/>
            <w:sz w:val="22"/>
            <w:szCs w:val="22"/>
            <w:lang w:val="en-US"/>
          </w:rPr>
          <w:t>https://www.gred-clermont.fr</w:t>
        </w:r>
      </w:hyperlink>
      <w:r w:rsidR="00AF1137">
        <w:rPr>
          <w:rFonts w:ascii="Calibri" w:hAnsi="Calibri" w:cs="Calibri"/>
          <w:sz w:val="22"/>
          <w:szCs w:val="22"/>
          <w:lang w:val="en-US"/>
        </w:rPr>
        <w:t>)</w:t>
      </w:r>
      <w:r w:rsidRPr="00157A36">
        <w:rPr>
          <w:rFonts w:ascii="Calibri" w:hAnsi="Calibri" w:cs="Calibri"/>
          <w:sz w:val="22"/>
          <w:szCs w:val="22"/>
          <w:lang w:val="en-US"/>
        </w:rPr>
        <w:t>. The 1</w:t>
      </w:r>
      <w:r>
        <w:rPr>
          <w:rFonts w:ascii="Calibri" w:hAnsi="Calibri" w:cs="Calibri"/>
          <w:sz w:val="22"/>
          <w:szCs w:val="22"/>
          <w:lang w:val="en-US"/>
        </w:rPr>
        <w:t>6</w:t>
      </w:r>
      <w:r w:rsidRPr="00157A36">
        <w:rPr>
          <w:rFonts w:ascii="Calibri" w:hAnsi="Calibri" w:cs="Calibri"/>
          <w:sz w:val="22"/>
          <w:szCs w:val="22"/>
          <w:lang w:val="en-US"/>
        </w:rPr>
        <w:t xml:space="preserve"> research teams at </w:t>
      </w:r>
      <w:proofErr w:type="spellStart"/>
      <w:r w:rsidRPr="00157A36">
        <w:rPr>
          <w:rFonts w:ascii="Calibri" w:hAnsi="Calibri" w:cs="Calibri"/>
          <w:sz w:val="22"/>
          <w:szCs w:val="22"/>
          <w:lang w:val="en-US"/>
        </w:rPr>
        <w:t>iGReD</w:t>
      </w:r>
      <w:proofErr w:type="spellEnd"/>
      <w:r w:rsidRPr="00157A36">
        <w:rPr>
          <w:rFonts w:ascii="Calibri" w:hAnsi="Calibri" w:cs="Calibri"/>
          <w:sz w:val="22"/>
          <w:szCs w:val="22"/>
          <w:lang w:val="en-US"/>
        </w:rPr>
        <w:t xml:space="preserve"> (1</w:t>
      </w:r>
      <w:r>
        <w:rPr>
          <w:rFonts w:ascii="Calibri" w:hAnsi="Calibri" w:cs="Calibri"/>
          <w:sz w:val="22"/>
          <w:szCs w:val="22"/>
          <w:lang w:val="en-US"/>
        </w:rPr>
        <w:t>90</w:t>
      </w:r>
      <w:r w:rsidRPr="00157A36">
        <w:rPr>
          <w:rFonts w:ascii="Calibri" w:hAnsi="Calibri" w:cs="Calibri"/>
          <w:sz w:val="22"/>
          <w:szCs w:val="22"/>
          <w:lang w:val="en-US"/>
        </w:rPr>
        <w:t xml:space="preserve"> employees) aim at understanding the genetic and epigenetic programs associated with development, reproduction, health and disease. Our friendly and international team is part of the Endocrinology, </w:t>
      </w:r>
      <w:proofErr w:type="spellStart"/>
      <w:r w:rsidRPr="00157A36">
        <w:rPr>
          <w:rFonts w:ascii="Calibri" w:hAnsi="Calibri" w:cs="Calibri"/>
          <w:sz w:val="22"/>
          <w:szCs w:val="22"/>
          <w:lang w:val="en-US"/>
        </w:rPr>
        <w:t>Signalling</w:t>
      </w:r>
      <w:proofErr w:type="spellEnd"/>
      <w:r w:rsidRPr="00157A36">
        <w:rPr>
          <w:rFonts w:ascii="Calibri" w:hAnsi="Calibri" w:cs="Calibri"/>
          <w:sz w:val="22"/>
          <w:szCs w:val="22"/>
          <w:lang w:val="en-US"/>
        </w:rPr>
        <w:t xml:space="preserve"> and Cancer department. </w:t>
      </w:r>
    </w:p>
    <w:p w14:paraId="57870EBD" w14:textId="77777777" w:rsidR="00157A36" w:rsidRPr="00157A36" w:rsidRDefault="00157A36" w:rsidP="00157A36">
      <w:pPr>
        <w:pStyle w:val="NormalWeb"/>
        <w:rPr>
          <w:sz w:val="22"/>
          <w:szCs w:val="22"/>
          <w:lang w:val="en-US"/>
        </w:rPr>
      </w:pPr>
      <w:r w:rsidRPr="00157A36">
        <w:rPr>
          <w:rFonts w:ascii="Calibri" w:hAnsi="Calibri" w:cs="Calibri"/>
          <w:sz w:val="22"/>
          <w:szCs w:val="22"/>
          <w:lang w:val="en-US"/>
        </w:rPr>
        <w:lastRenderedPageBreak/>
        <w:t xml:space="preserve">The institute </w:t>
      </w:r>
      <w:proofErr w:type="gramStart"/>
      <w:r w:rsidRPr="00157A36">
        <w:rPr>
          <w:rFonts w:ascii="Calibri" w:hAnsi="Calibri" w:cs="Calibri"/>
          <w:sz w:val="22"/>
          <w:szCs w:val="22"/>
          <w:lang w:val="en-US"/>
        </w:rPr>
        <w:t>is located in</w:t>
      </w:r>
      <w:proofErr w:type="gramEnd"/>
      <w:r w:rsidRPr="00157A36">
        <w:rPr>
          <w:rFonts w:ascii="Calibri" w:hAnsi="Calibri" w:cs="Calibri"/>
          <w:sz w:val="22"/>
          <w:szCs w:val="22"/>
          <w:lang w:val="en-US"/>
        </w:rPr>
        <w:t xml:space="preserve"> Clermont-Ferrand, a young and vibrant university city (&gt;35 000 students at University Clermont Auvergne) surrounded by the volcanoes of Auvergne (UNESCO world Heritage), providing a perfect mix between the intensity and dynamism of a metropolis (urban area of 500 000 inhabitants) and the serenity of nearby wide-open wild spaces. </w:t>
      </w:r>
    </w:p>
    <w:p w14:paraId="682B68C1" w14:textId="339E8594" w:rsidR="00045705" w:rsidRPr="00157A36" w:rsidRDefault="00045705" w:rsidP="0098307A">
      <w:pPr>
        <w:jc w:val="both"/>
        <w:rPr>
          <w:rFonts w:ascii="Calibri" w:eastAsia="Times New Roman" w:hAnsi="Calibri" w:cs="Calibri"/>
          <w:b/>
          <w:bCs/>
          <w:sz w:val="22"/>
          <w:szCs w:val="22"/>
          <w:lang w:val="en-GB" w:eastAsia="fr-FR"/>
        </w:rPr>
      </w:pPr>
      <w:r w:rsidRPr="00157A36">
        <w:rPr>
          <w:rFonts w:ascii="Calibri" w:eastAsia="Times New Roman" w:hAnsi="Calibri" w:cs="Calibri"/>
          <w:b/>
          <w:bCs/>
          <w:sz w:val="22"/>
          <w:szCs w:val="22"/>
          <w:lang w:val="en-GB" w:eastAsia="fr-FR"/>
        </w:rPr>
        <w:t>Techniques</w:t>
      </w:r>
    </w:p>
    <w:p w14:paraId="2958AB28" w14:textId="429B55B6" w:rsidR="00F67148" w:rsidRDefault="00F67148" w:rsidP="0098307A">
      <w:pPr>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We routinely use a large array of techniques and approaches that the intern will be able to familiarize with. These include but are not limited to:</w:t>
      </w:r>
    </w:p>
    <w:p w14:paraId="63775E26" w14:textId="5C33FB56" w:rsidR="00045705"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045705" w:rsidRPr="00157A36">
        <w:rPr>
          <w:rFonts w:ascii="Calibri" w:eastAsia="Times New Roman" w:hAnsi="Calibri" w:cs="Calibri"/>
          <w:sz w:val="22"/>
          <w:szCs w:val="22"/>
          <w:lang w:val="en-GB" w:eastAsia="fr-FR"/>
        </w:rPr>
        <w:t>Generation and maintenance of genetically engineered mouse models</w:t>
      </w:r>
      <w:r w:rsidR="00256669" w:rsidRPr="00157A36">
        <w:rPr>
          <w:rFonts w:ascii="Calibri" w:eastAsia="Times New Roman" w:hAnsi="Calibri" w:cs="Calibri"/>
          <w:sz w:val="22"/>
          <w:szCs w:val="22"/>
          <w:lang w:val="en-GB" w:eastAsia="fr-FR"/>
        </w:rPr>
        <w:t xml:space="preserve"> of diseases</w:t>
      </w:r>
    </w:p>
    <w:p w14:paraId="083EFF52" w14:textId="0FC529D7" w:rsidR="00256669"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256669" w:rsidRPr="00157A36">
        <w:rPr>
          <w:rFonts w:ascii="Calibri" w:eastAsia="Times New Roman" w:hAnsi="Calibri" w:cs="Calibri"/>
          <w:sz w:val="22"/>
          <w:szCs w:val="22"/>
          <w:lang w:val="en-GB" w:eastAsia="fr-FR"/>
        </w:rPr>
        <w:t>Experimental manipulation of mouse models</w:t>
      </w:r>
    </w:p>
    <w:p w14:paraId="73DDC9B2" w14:textId="19E2E4AA" w:rsidR="00045705"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045705" w:rsidRPr="00157A36">
        <w:rPr>
          <w:rFonts w:ascii="Calibri" w:eastAsia="Times New Roman" w:hAnsi="Calibri" w:cs="Calibri"/>
          <w:sz w:val="22"/>
          <w:szCs w:val="22"/>
          <w:lang w:val="en-GB" w:eastAsia="fr-FR"/>
        </w:rPr>
        <w:t xml:space="preserve">Histology, immunohistochemistry, </w:t>
      </w:r>
      <w:r w:rsidR="0081544C" w:rsidRPr="00157A36">
        <w:rPr>
          <w:rFonts w:ascii="Calibri" w:eastAsia="Times New Roman" w:hAnsi="Calibri" w:cs="Calibri"/>
          <w:sz w:val="22"/>
          <w:szCs w:val="22"/>
          <w:lang w:val="en-GB" w:eastAsia="fr-FR"/>
        </w:rPr>
        <w:t>RNA in situ hybridization</w:t>
      </w:r>
    </w:p>
    <w:p w14:paraId="48210740" w14:textId="1871A207" w:rsidR="0081544C"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-Tissue i</w:t>
      </w:r>
      <w:r w:rsidR="0081544C" w:rsidRPr="00157A36">
        <w:rPr>
          <w:rFonts w:ascii="Calibri" w:eastAsia="Times New Roman" w:hAnsi="Calibri" w:cs="Calibri"/>
          <w:sz w:val="22"/>
          <w:szCs w:val="22"/>
          <w:lang w:val="en-GB" w:eastAsia="fr-FR"/>
        </w:rPr>
        <w:t>maging</w:t>
      </w:r>
    </w:p>
    <w:p w14:paraId="56811B98" w14:textId="6F94A030" w:rsidR="0081544C"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81544C" w:rsidRPr="00157A36">
        <w:rPr>
          <w:rFonts w:ascii="Calibri" w:eastAsia="Times New Roman" w:hAnsi="Calibri" w:cs="Calibri"/>
          <w:sz w:val="22"/>
          <w:szCs w:val="22"/>
          <w:lang w:val="en-GB" w:eastAsia="fr-FR"/>
        </w:rPr>
        <w:t xml:space="preserve">RNA sequencing, </w:t>
      </w:r>
      <w:proofErr w:type="spellStart"/>
      <w:r w:rsidR="0081544C" w:rsidRPr="00157A36">
        <w:rPr>
          <w:rFonts w:ascii="Calibri" w:eastAsia="Times New Roman" w:hAnsi="Calibri" w:cs="Calibri"/>
          <w:sz w:val="22"/>
          <w:szCs w:val="22"/>
          <w:lang w:val="en-GB" w:eastAsia="fr-FR"/>
        </w:rPr>
        <w:t>RTqPCR</w:t>
      </w:r>
      <w:proofErr w:type="spellEnd"/>
    </w:p>
    <w:p w14:paraId="23E33BB2" w14:textId="5A61A688" w:rsidR="0081544C"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81544C" w:rsidRPr="00157A36">
        <w:rPr>
          <w:rFonts w:ascii="Calibri" w:eastAsia="Times New Roman" w:hAnsi="Calibri" w:cs="Calibri"/>
          <w:sz w:val="22"/>
          <w:szCs w:val="22"/>
          <w:lang w:val="en-GB" w:eastAsia="fr-FR"/>
        </w:rPr>
        <w:t>Hormone analysis by ELISA</w:t>
      </w:r>
    </w:p>
    <w:p w14:paraId="5363DEE1" w14:textId="2F507790" w:rsidR="0081544C"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81544C" w:rsidRPr="00157A36">
        <w:rPr>
          <w:rFonts w:ascii="Calibri" w:eastAsia="Times New Roman" w:hAnsi="Calibri" w:cs="Calibri"/>
          <w:sz w:val="22"/>
          <w:szCs w:val="22"/>
          <w:lang w:val="en-GB" w:eastAsia="fr-FR"/>
        </w:rPr>
        <w:t>Flow cytometry</w:t>
      </w:r>
    </w:p>
    <w:p w14:paraId="06561F56" w14:textId="3D078E67" w:rsidR="00256669"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w:t>
      </w:r>
      <w:r w:rsidR="00256669" w:rsidRPr="00157A36">
        <w:rPr>
          <w:rFonts w:ascii="Calibri" w:eastAsia="Times New Roman" w:hAnsi="Calibri" w:cs="Calibri"/>
          <w:sz w:val="22"/>
          <w:szCs w:val="22"/>
          <w:lang w:val="en-GB" w:eastAsia="fr-FR"/>
        </w:rPr>
        <w:t>Cell sorting</w:t>
      </w:r>
    </w:p>
    <w:p w14:paraId="4C85C734" w14:textId="4FE491A4" w:rsidR="00256669" w:rsidRPr="00157A36" w:rsidRDefault="00F67148" w:rsidP="00F67148">
      <w:pPr>
        <w:ind w:firstLine="708"/>
        <w:jc w:val="both"/>
        <w:rPr>
          <w:rFonts w:ascii="Calibri" w:eastAsia="Times New Roman" w:hAnsi="Calibri" w:cs="Calibri"/>
          <w:sz w:val="22"/>
          <w:szCs w:val="22"/>
          <w:lang w:val="en-GB" w:eastAsia="fr-FR"/>
        </w:rPr>
      </w:pPr>
      <w:r>
        <w:rPr>
          <w:rFonts w:ascii="Calibri" w:eastAsia="Times New Roman" w:hAnsi="Calibri" w:cs="Calibri"/>
          <w:sz w:val="22"/>
          <w:szCs w:val="22"/>
          <w:lang w:val="en-GB" w:eastAsia="fr-FR"/>
        </w:rPr>
        <w:t>-Cell</w:t>
      </w:r>
      <w:r w:rsidR="00256669" w:rsidRPr="00157A36">
        <w:rPr>
          <w:rFonts w:ascii="Calibri" w:eastAsia="Times New Roman" w:hAnsi="Calibri" w:cs="Calibri"/>
          <w:sz w:val="22"/>
          <w:szCs w:val="22"/>
          <w:lang w:val="en-GB" w:eastAsia="fr-FR"/>
        </w:rPr>
        <w:t xml:space="preserve"> culture</w:t>
      </w:r>
    </w:p>
    <w:p w14:paraId="7B917863" w14:textId="77777777" w:rsidR="00256669" w:rsidRPr="00AF1137" w:rsidRDefault="00256669" w:rsidP="0098307A">
      <w:pPr>
        <w:jc w:val="both"/>
        <w:rPr>
          <w:rFonts w:ascii="Calibri" w:eastAsia="Times New Roman" w:hAnsi="Calibri" w:cs="Calibri"/>
          <w:sz w:val="22"/>
          <w:szCs w:val="22"/>
          <w:lang w:val="en-GB" w:eastAsia="fr-FR"/>
        </w:rPr>
      </w:pPr>
    </w:p>
    <w:p w14:paraId="315FFC4F" w14:textId="1B47A623" w:rsidR="0081544C" w:rsidRPr="00AF1137" w:rsidRDefault="00AF1137" w:rsidP="0098307A">
      <w:pPr>
        <w:jc w:val="both"/>
        <w:rPr>
          <w:b/>
          <w:bCs/>
          <w:sz w:val="22"/>
          <w:szCs w:val="22"/>
          <w:lang w:val="en-GB"/>
        </w:rPr>
      </w:pPr>
      <w:r w:rsidRPr="00AF1137">
        <w:rPr>
          <w:b/>
          <w:bCs/>
          <w:sz w:val="22"/>
          <w:szCs w:val="22"/>
          <w:lang w:val="en-GB"/>
        </w:rPr>
        <w:t>Contacts</w:t>
      </w:r>
    </w:p>
    <w:p w14:paraId="61739A73" w14:textId="2860EB20" w:rsidR="00AF1137" w:rsidRPr="00AF1137" w:rsidRDefault="00AF1137" w:rsidP="0098307A">
      <w:pPr>
        <w:jc w:val="both"/>
        <w:rPr>
          <w:sz w:val="22"/>
          <w:szCs w:val="22"/>
          <w:lang w:val="en-GB"/>
        </w:rPr>
      </w:pPr>
      <w:r w:rsidRPr="00AF1137">
        <w:rPr>
          <w:sz w:val="22"/>
          <w:szCs w:val="22"/>
          <w:lang w:val="en-GB"/>
        </w:rPr>
        <w:t xml:space="preserve">Principal Investigator: Dr Pierre VAL, </w:t>
      </w:r>
      <w:hyperlink r:id="rId6" w:history="1">
        <w:r w:rsidRPr="00AF1137">
          <w:rPr>
            <w:rStyle w:val="Lienhypertexte"/>
            <w:sz w:val="22"/>
            <w:szCs w:val="22"/>
            <w:lang w:val="en-GB"/>
          </w:rPr>
          <w:t>pierre.val@uca.fr</w:t>
        </w:r>
      </w:hyperlink>
    </w:p>
    <w:p w14:paraId="2C4178AA" w14:textId="372EF5C5" w:rsidR="00AF1137" w:rsidRDefault="00AF1137" w:rsidP="0098307A">
      <w:pPr>
        <w:jc w:val="both"/>
        <w:rPr>
          <w:sz w:val="22"/>
          <w:szCs w:val="22"/>
          <w:lang w:val="en-GB"/>
        </w:rPr>
      </w:pPr>
      <w:r w:rsidRPr="00AF1137">
        <w:rPr>
          <w:sz w:val="22"/>
          <w:szCs w:val="22"/>
          <w:lang w:val="en-GB"/>
        </w:rPr>
        <w:t>PhD Student:</w:t>
      </w:r>
      <w:r>
        <w:rPr>
          <w:sz w:val="22"/>
          <w:szCs w:val="22"/>
          <w:lang w:val="en-GB"/>
        </w:rPr>
        <w:t xml:space="preserve"> James J </w:t>
      </w:r>
      <w:proofErr w:type="spellStart"/>
      <w:r>
        <w:rPr>
          <w:sz w:val="22"/>
          <w:szCs w:val="22"/>
          <w:lang w:val="en-GB"/>
        </w:rPr>
        <w:t>Wilmouth</w:t>
      </w:r>
      <w:proofErr w:type="spellEnd"/>
      <w:r>
        <w:rPr>
          <w:sz w:val="22"/>
          <w:szCs w:val="22"/>
          <w:lang w:val="en-GB"/>
        </w:rPr>
        <w:t xml:space="preserve">, </w:t>
      </w:r>
      <w:hyperlink r:id="rId7" w:history="1">
        <w:r w:rsidR="000B1783" w:rsidRPr="00DD0EEC">
          <w:rPr>
            <w:rStyle w:val="Lienhypertexte"/>
            <w:sz w:val="22"/>
            <w:szCs w:val="22"/>
            <w:lang w:val="en-GB"/>
          </w:rPr>
          <w:t>james.wilmouth@uca.fr</w:t>
        </w:r>
      </w:hyperlink>
    </w:p>
    <w:p w14:paraId="2DDF0658" w14:textId="51C0F40E" w:rsidR="000B1783" w:rsidRDefault="000B1783" w:rsidP="0098307A">
      <w:pPr>
        <w:jc w:val="both"/>
        <w:rPr>
          <w:sz w:val="22"/>
          <w:szCs w:val="22"/>
          <w:lang w:val="en-GB"/>
        </w:rPr>
      </w:pPr>
    </w:p>
    <w:p w14:paraId="725F9E31" w14:textId="61CF1842" w:rsidR="00850015" w:rsidRPr="00850015" w:rsidRDefault="00941D4A" w:rsidP="0098307A">
      <w:pPr>
        <w:jc w:val="both"/>
        <w:rPr>
          <w:b/>
          <w:bCs/>
          <w:sz w:val="22"/>
          <w:szCs w:val="22"/>
          <w:lang w:val="en-GB"/>
        </w:rPr>
      </w:pPr>
      <w:r>
        <w:rPr>
          <w:b/>
          <w:bCs/>
          <w:sz w:val="22"/>
          <w:szCs w:val="22"/>
          <w:lang w:val="en-GB"/>
        </w:rPr>
        <w:t>References</w:t>
      </w:r>
    </w:p>
    <w:p w14:paraId="274B5472" w14:textId="77777777" w:rsidR="009447C5" w:rsidRPr="009447C5" w:rsidRDefault="00866562" w:rsidP="00E955DC">
      <w:pPr>
        <w:pStyle w:val="Bibliographie1"/>
        <w:spacing w:line="240" w:lineRule="auto"/>
        <w:rPr>
          <w:rFonts w:ascii="Calibri" w:cs="Calibri"/>
        </w:rPr>
      </w:pPr>
      <w:r>
        <w:fldChar w:fldCharType="begin"/>
      </w:r>
      <w:r>
        <w:instrText xml:space="preserve"> ADDIN ZOTERO_BIBL {"uncited":[],"omitted":[],"custom":[]} CSL_BIBLIOGRAPHY </w:instrText>
      </w:r>
      <w:r>
        <w:fldChar w:fldCharType="separate"/>
      </w:r>
      <w:r w:rsidR="009447C5" w:rsidRPr="009447C5">
        <w:rPr>
          <w:rFonts w:ascii="Calibri" w:cs="Calibri"/>
        </w:rPr>
        <w:t>1.</w:t>
      </w:r>
      <w:r w:rsidR="009447C5" w:rsidRPr="009447C5">
        <w:rPr>
          <w:rFonts w:ascii="Calibri" w:cs="Calibri"/>
        </w:rPr>
        <w:tab/>
        <w:t xml:space="preserve">Berthon, A. </w:t>
      </w:r>
      <w:r w:rsidR="009447C5" w:rsidRPr="009447C5">
        <w:rPr>
          <w:rFonts w:ascii="Calibri" w:cs="Calibri"/>
          <w:i/>
          <w:iCs/>
        </w:rPr>
        <w:t>et al.</w:t>
      </w:r>
      <w:r w:rsidR="009447C5" w:rsidRPr="009447C5">
        <w:rPr>
          <w:rFonts w:ascii="Calibri" w:cs="Calibri"/>
        </w:rPr>
        <w:t xml:space="preserve"> Constitutive {beta}-catenin activation induces adrenal hyperplasia and promotes adrenal cancer development. </w:t>
      </w:r>
      <w:r w:rsidR="009447C5" w:rsidRPr="009447C5">
        <w:rPr>
          <w:rFonts w:ascii="Calibri" w:cs="Calibri"/>
          <w:i/>
          <w:iCs/>
        </w:rPr>
        <w:t>Hum Mol Genet</w:t>
      </w:r>
      <w:r w:rsidR="009447C5" w:rsidRPr="009447C5">
        <w:rPr>
          <w:rFonts w:ascii="Calibri" w:cs="Calibri"/>
        </w:rPr>
        <w:t xml:space="preserve"> </w:t>
      </w:r>
      <w:r w:rsidR="009447C5" w:rsidRPr="009447C5">
        <w:rPr>
          <w:rFonts w:ascii="Calibri" w:cs="Calibri"/>
          <w:b/>
          <w:bCs/>
        </w:rPr>
        <w:t>19</w:t>
      </w:r>
      <w:r w:rsidR="009447C5" w:rsidRPr="009447C5">
        <w:rPr>
          <w:rFonts w:ascii="Calibri" w:cs="Calibri"/>
        </w:rPr>
        <w:t>, 1561–1576 (2010).</w:t>
      </w:r>
    </w:p>
    <w:p w14:paraId="0FF37162" w14:textId="77777777" w:rsidR="009447C5" w:rsidRPr="009447C5" w:rsidRDefault="009447C5" w:rsidP="00E955DC">
      <w:pPr>
        <w:pStyle w:val="Bibliographie1"/>
        <w:spacing w:line="240" w:lineRule="auto"/>
        <w:rPr>
          <w:rFonts w:ascii="Calibri" w:cs="Calibri"/>
        </w:rPr>
      </w:pPr>
      <w:r w:rsidRPr="009447C5">
        <w:rPr>
          <w:rFonts w:ascii="Calibri" w:cs="Calibri"/>
        </w:rPr>
        <w:t>2.</w:t>
      </w:r>
      <w:r w:rsidRPr="009447C5">
        <w:rPr>
          <w:rFonts w:ascii="Calibri" w:cs="Calibri"/>
        </w:rPr>
        <w:tab/>
        <w:t xml:space="preserve">Berthon, A. </w:t>
      </w:r>
      <w:r w:rsidRPr="009447C5">
        <w:rPr>
          <w:rFonts w:ascii="Calibri" w:cs="Calibri"/>
          <w:i/>
          <w:iCs/>
        </w:rPr>
        <w:t>et al.</w:t>
      </w:r>
      <w:r w:rsidRPr="009447C5">
        <w:rPr>
          <w:rFonts w:ascii="Calibri" w:cs="Calibri"/>
        </w:rPr>
        <w:t xml:space="preserve"> WNT/β-catenin signalling is activated in aldosterone-producing adenomas and controls aldosterone production. </w:t>
      </w:r>
      <w:r w:rsidRPr="009447C5">
        <w:rPr>
          <w:rFonts w:ascii="Calibri" w:cs="Calibri"/>
          <w:i/>
          <w:iCs/>
        </w:rPr>
        <w:t>Hum. Mol. Genet.</w:t>
      </w:r>
      <w:r w:rsidRPr="009447C5">
        <w:rPr>
          <w:rFonts w:ascii="Calibri" w:cs="Calibri"/>
        </w:rPr>
        <w:t xml:space="preserve"> </w:t>
      </w:r>
      <w:r w:rsidRPr="009447C5">
        <w:rPr>
          <w:rFonts w:ascii="Calibri" w:cs="Calibri"/>
          <w:b/>
          <w:bCs/>
        </w:rPr>
        <w:t>23</w:t>
      </w:r>
      <w:r w:rsidRPr="009447C5">
        <w:rPr>
          <w:rFonts w:ascii="Calibri" w:cs="Calibri"/>
        </w:rPr>
        <w:t>, 889–905 (2014).</w:t>
      </w:r>
    </w:p>
    <w:p w14:paraId="09517986" w14:textId="77777777" w:rsidR="009447C5" w:rsidRPr="009447C5" w:rsidRDefault="009447C5" w:rsidP="00E955DC">
      <w:pPr>
        <w:pStyle w:val="Bibliographie1"/>
        <w:spacing w:line="240" w:lineRule="auto"/>
        <w:rPr>
          <w:rFonts w:ascii="Calibri" w:cs="Calibri"/>
        </w:rPr>
      </w:pPr>
      <w:r w:rsidRPr="009447C5">
        <w:rPr>
          <w:rFonts w:ascii="Calibri" w:cs="Calibri"/>
        </w:rPr>
        <w:t>3.</w:t>
      </w:r>
      <w:r w:rsidRPr="009447C5">
        <w:rPr>
          <w:rFonts w:ascii="Calibri" w:cs="Calibri"/>
        </w:rPr>
        <w:tab/>
        <w:t xml:space="preserve">Drelon, C. </w:t>
      </w:r>
      <w:r w:rsidRPr="009447C5">
        <w:rPr>
          <w:rFonts w:ascii="Calibri" w:cs="Calibri"/>
          <w:i/>
          <w:iCs/>
        </w:rPr>
        <w:t>et al.</w:t>
      </w:r>
      <w:r w:rsidRPr="009447C5">
        <w:rPr>
          <w:rFonts w:ascii="Calibri" w:cs="Calibri"/>
        </w:rPr>
        <w:t xml:space="preserve"> PKA inhibits WNT signalling in adrenal cortex zonation and prevents malignant tumour development. </w:t>
      </w:r>
      <w:r w:rsidRPr="009447C5">
        <w:rPr>
          <w:rFonts w:ascii="Calibri" w:cs="Calibri"/>
          <w:i/>
          <w:iCs/>
        </w:rPr>
        <w:t>Nat. Commun.</w:t>
      </w:r>
      <w:r w:rsidRPr="009447C5">
        <w:rPr>
          <w:rFonts w:ascii="Calibri" w:cs="Calibri"/>
        </w:rPr>
        <w:t xml:space="preserve"> </w:t>
      </w:r>
      <w:r w:rsidRPr="009447C5">
        <w:rPr>
          <w:rFonts w:ascii="Calibri" w:cs="Calibri"/>
          <w:b/>
          <w:bCs/>
        </w:rPr>
        <w:t>7</w:t>
      </w:r>
      <w:r w:rsidRPr="009447C5">
        <w:rPr>
          <w:rFonts w:ascii="Calibri" w:cs="Calibri"/>
        </w:rPr>
        <w:t>, 12751 (2016).</w:t>
      </w:r>
    </w:p>
    <w:p w14:paraId="15AFB0A5" w14:textId="77777777" w:rsidR="009447C5" w:rsidRPr="009447C5" w:rsidRDefault="009447C5" w:rsidP="00E955DC">
      <w:pPr>
        <w:pStyle w:val="Bibliographie1"/>
        <w:spacing w:line="240" w:lineRule="auto"/>
        <w:rPr>
          <w:rFonts w:ascii="Calibri" w:cs="Calibri"/>
        </w:rPr>
      </w:pPr>
      <w:r w:rsidRPr="009447C5">
        <w:rPr>
          <w:rFonts w:ascii="Calibri" w:cs="Calibri"/>
        </w:rPr>
        <w:t>4.</w:t>
      </w:r>
      <w:r w:rsidRPr="009447C5">
        <w:rPr>
          <w:rFonts w:ascii="Calibri" w:cs="Calibri"/>
        </w:rPr>
        <w:tab/>
        <w:t xml:space="preserve">Batisse-Lignier, M. </w:t>
      </w:r>
      <w:r w:rsidRPr="009447C5">
        <w:rPr>
          <w:rFonts w:ascii="Calibri" w:cs="Calibri"/>
          <w:i/>
          <w:iCs/>
        </w:rPr>
        <w:t>et al.</w:t>
      </w:r>
      <w:r w:rsidRPr="009447C5">
        <w:rPr>
          <w:rFonts w:ascii="Calibri" w:cs="Calibri"/>
        </w:rPr>
        <w:t xml:space="preserve"> P53/Rb inhibition induces metastatic adrenocortical carcinomas in a preclinical transgenic model. </w:t>
      </w:r>
      <w:r w:rsidRPr="009447C5">
        <w:rPr>
          <w:rFonts w:ascii="Calibri" w:cs="Calibri"/>
          <w:i/>
          <w:iCs/>
        </w:rPr>
        <w:t>Oncogene</w:t>
      </w:r>
      <w:r w:rsidRPr="009447C5">
        <w:rPr>
          <w:rFonts w:ascii="Calibri" w:cs="Calibri"/>
        </w:rPr>
        <w:t xml:space="preserve"> </w:t>
      </w:r>
      <w:r w:rsidRPr="009447C5">
        <w:rPr>
          <w:rFonts w:ascii="Calibri" w:cs="Calibri"/>
          <w:b/>
          <w:bCs/>
        </w:rPr>
        <w:t>36</w:t>
      </w:r>
      <w:r w:rsidRPr="009447C5">
        <w:rPr>
          <w:rFonts w:ascii="Calibri" w:cs="Calibri"/>
        </w:rPr>
        <w:t>, 4445–4456 (2017).</w:t>
      </w:r>
    </w:p>
    <w:p w14:paraId="10186ECE" w14:textId="77777777" w:rsidR="009447C5" w:rsidRPr="009447C5" w:rsidRDefault="009447C5" w:rsidP="00E955DC">
      <w:pPr>
        <w:pStyle w:val="Bibliographie1"/>
        <w:spacing w:line="240" w:lineRule="auto"/>
        <w:rPr>
          <w:rFonts w:ascii="Calibri" w:cs="Calibri"/>
        </w:rPr>
      </w:pPr>
      <w:r w:rsidRPr="009447C5">
        <w:rPr>
          <w:rFonts w:ascii="Calibri" w:cs="Calibri"/>
        </w:rPr>
        <w:t>5.</w:t>
      </w:r>
      <w:r w:rsidRPr="009447C5">
        <w:rPr>
          <w:rFonts w:ascii="Calibri" w:cs="Calibri"/>
        </w:rPr>
        <w:tab/>
        <w:t xml:space="preserve">Drelon, C. </w:t>
      </w:r>
      <w:r w:rsidRPr="009447C5">
        <w:rPr>
          <w:rFonts w:ascii="Calibri" w:cs="Calibri"/>
          <w:i/>
          <w:iCs/>
        </w:rPr>
        <w:t>et al.</w:t>
      </w:r>
      <w:r w:rsidRPr="009447C5">
        <w:rPr>
          <w:rFonts w:ascii="Calibri" w:cs="Calibri"/>
        </w:rPr>
        <w:t xml:space="preserve"> Analysis of the role of Igf2 in adrenal tumour development in transgenic mouse models. </w:t>
      </w:r>
      <w:r w:rsidRPr="009447C5">
        <w:rPr>
          <w:rFonts w:ascii="Calibri" w:cs="Calibri"/>
          <w:i/>
          <w:iCs/>
        </w:rPr>
        <w:t>PLoS One</w:t>
      </w:r>
      <w:r w:rsidRPr="009447C5">
        <w:rPr>
          <w:rFonts w:ascii="Calibri" w:cs="Calibri"/>
        </w:rPr>
        <w:t xml:space="preserve"> </w:t>
      </w:r>
      <w:r w:rsidRPr="009447C5">
        <w:rPr>
          <w:rFonts w:ascii="Calibri" w:cs="Calibri"/>
          <w:b/>
          <w:bCs/>
        </w:rPr>
        <w:t>7</w:t>
      </w:r>
      <w:r w:rsidRPr="009447C5">
        <w:rPr>
          <w:rFonts w:ascii="Calibri" w:cs="Calibri"/>
        </w:rPr>
        <w:t>, e44171 (2012).</w:t>
      </w:r>
    </w:p>
    <w:p w14:paraId="145F858B" w14:textId="77777777" w:rsidR="009447C5" w:rsidRPr="009447C5" w:rsidRDefault="009447C5" w:rsidP="00E955DC">
      <w:pPr>
        <w:pStyle w:val="Bibliographie1"/>
        <w:spacing w:line="240" w:lineRule="auto"/>
        <w:rPr>
          <w:rFonts w:ascii="Calibri" w:cs="Calibri"/>
        </w:rPr>
      </w:pPr>
      <w:r w:rsidRPr="009447C5">
        <w:rPr>
          <w:rFonts w:ascii="Calibri" w:cs="Calibri"/>
        </w:rPr>
        <w:t>6.</w:t>
      </w:r>
      <w:r w:rsidRPr="009447C5">
        <w:rPr>
          <w:rFonts w:ascii="Calibri" w:cs="Calibri"/>
        </w:rPr>
        <w:tab/>
        <w:t xml:space="preserve">Dumontet, T. </w:t>
      </w:r>
      <w:r w:rsidRPr="009447C5">
        <w:rPr>
          <w:rFonts w:ascii="Calibri" w:cs="Calibri"/>
          <w:i/>
          <w:iCs/>
        </w:rPr>
        <w:t>et al.</w:t>
      </w:r>
      <w:r w:rsidRPr="009447C5">
        <w:rPr>
          <w:rFonts w:ascii="Calibri" w:cs="Calibri"/>
        </w:rPr>
        <w:t xml:space="preserve"> PKA signaling drives reticularis differentiation and sexually dimorphic adrenal cortex renewal. </w:t>
      </w:r>
      <w:r w:rsidRPr="009447C5">
        <w:rPr>
          <w:rFonts w:ascii="Calibri" w:cs="Calibri"/>
          <w:i/>
          <w:iCs/>
        </w:rPr>
        <w:t>JCI Insight</w:t>
      </w:r>
      <w:r w:rsidRPr="009447C5">
        <w:rPr>
          <w:rFonts w:ascii="Calibri" w:cs="Calibri"/>
        </w:rPr>
        <w:t xml:space="preserve"> </w:t>
      </w:r>
      <w:r w:rsidRPr="009447C5">
        <w:rPr>
          <w:rFonts w:ascii="Calibri" w:cs="Calibri"/>
          <w:b/>
          <w:bCs/>
        </w:rPr>
        <w:t>3</w:t>
      </w:r>
      <w:r w:rsidRPr="009447C5">
        <w:rPr>
          <w:rFonts w:ascii="Calibri" w:cs="Calibri"/>
        </w:rPr>
        <w:t>, (2018).</w:t>
      </w:r>
    </w:p>
    <w:p w14:paraId="2F92DB85" w14:textId="77777777" w:rsidR="009447C5" w:rsidRPr="009447C5" w:rsidRDefault="009447C5" w:rsidP="00E955DC">
      <w:pPr>
        <w:pStyle w:val="Bibliographie1"/>
        <w:spacing w:line="240" w:lineRule="auto"/>
        <w:rPr>
          <w:rFonts w:ascii="Calibri" w:cs="Calibri"/>
        </w:rPr>
      </w:pPr>
      <w:r w:rsidRPr="009447C5">
        <w:rPr>
          <w:rFonts w:ascii="Calibri" w:cs="Calibri"/>
          <w:lang w:val="fr-FR"/>
        </w:rPr>
        <w:t>7.</w:t>
      </w:r>
      <w:r w:rsidRPr="009447C5">
        <w:rPr>
          <w:rFonts w:ascii="Calibri" w:cs="Calibri"/>
          <w:lang w:val="fr-FR"/>
        </w:rPr>
        <w:tab/>
        <w:t xml:space="preserve">Sahut-Barnola, I. </w:t>
      </w:r>
      <w:r w:rsidRPr="009447C5">
        <w:rPr>
          <w:rFonts w:ascii="Calibri" w:cs="Calibri"/>
          <w:i/>
          <w:iCs/>
          <w:lang w:val="fr-FR"/>
        </w:rPr>
        <w:t>et al.</w:t>
      </w:r>
      <w:r w:rsidRPr="009447C5">
        <w:rPr>
          <w:rFonts w:ascii="Calibri" w:cs="Calibri"/>
          <w:lang w:val="fr-FR"/>
        </w:rPr>
        <w:t xml:space="preserve"> </w:t>
      </w:r>
      <w:r w:rsidRPr="009447C5">
        <w:rPr>
          <w:rFonts w:ascii="Calibri" w:cs="Calibri"/>
        </w:rPr>
        <w:t xml:space="preserve">Cushing’s syndrome and fetal features resurgence in adrenal cortex-specific Prkar1a knockout mice. </w:t>
      </w:r>
      <w:r w:rsidRPr="009447C5">
        <w:rPr>
          <w:rFonts w:ascii="Calibri" w:cs="Calibri"/>
          <w:i/>
          <w:iCs/>
        </w:rPr>
        <w:t>PloS Genet</w:t>
      </w:r>
      <w:r w:rsidRPr="009447C5">
        <w:rPr>
          <w:rFonts w:ascii="Calibri" w:cs="Calibri"/>
        </w:rPr>
        <w:t xml:space="preserve"> </w:t>
      </w:r>
      <w:r w:rsidRPr="009447C5">
        <w:rPr>
          <w:rFonts w:ascii="Calibri" w:cs="Calibri"/>
          <w:b/>
          <w:bCs/>
        </w:rPr>
        <w:t>6</w:t>
      </w:r>
      <w:r w:rsidRPr="009447C5">
        <w:rPr>
          <w:rFonts w:ascii="Calibri" w:cs="Calibri"/>
        </w:rPr>
        <w:t>, e1000980 (2010).</w:t>
      </w:r>
    </w:p>
    <w:p w14:paraId="2FFC55BC" w14:textId="77777777" w:rsidR="009447C5" w:rsidRPr="009447C5" w:rsidRDefault="009447C5" w:rsidP="00E955DC">
      <w:pPr>
        <w:pStyle w:val="Bibliographie1"/>
        <w:spacing w:line="240" w:lineRule="auto"/>
        <w:rPr>
          <w:rFonts w:ascii="Calibri" w:cs="Calibri"/>
        </w:rPr>
      </w:pPr>
      <w:r w:rsidRPr="009447C5">
        <w:rPr>
          <w:rFonts w:ascii="Calibri" w:cs="Calibri"/>
        </w:rPr>
        <w:t>8.</w:t>
      </w:r>
      <w:r w:rsidRPr="009447C5">
        <w:rPr>
          <w:rFonts w:ascii="Calibri" w:cs="Calibri"/>
        </w:rPr>
        <w:tab/>
        <w:t xml:space="preserve">Basham, K. J. </w:t>
      </w:r>
      <w:r w:rsidRPr="009447C5">
        <w:rPr>
          <w:rFonts w:ascii="Calibri" w:cs="Calibri"/>
          <w:i/>
          <w:iCs/>
        </w:rPr>
        <w:t>et al.</w:t>
      </w:r>
      <w:r w:rsidRPr="009447C5">
        <w:rPr>
          <w:rFonts w:ascii="Calibri" w:cs="Calibri"/>
        </w:rPr>
        <w:t xml:space="preserve"> A ZNRF3-dependent Wnt/β-catenin signaling gradient is required for adrenal homeostasis. </w:t>
      </w:r>
      <w:r w:rsidRPr="009447C5">
        <w:rPr>
          <w:rFonts w:ascii="Calibri" w:cs="Calibri"/>
          <w:i/>
          <w:iCs/>
        </w:rPr>
        <w:t>Genes Dev.</w:t>
      </w:r>
      <w:r w:rsidRPr="009447C5">
        <w:rPr>
          <w:rFonts w:ascii="Calibri" w:cs="Calibri"/>
        </w:rPr>
        <w:t xml:space="preserve"> </w:t>
      </w:r>
      <w:r w:rsidRPr="009447C5">
        <w:rPr>
          <w:rFonts w:ascii="Calibri" w:cs="Calibri"/>
          <w:b/>
          <w:bCs/>
        </w:rPr>
        <w:t>33</w:t>
      </w:r>
      <w:r w:rsidRPr="009447C5">
        <w:rPr>
          <w:rFonts w:ascii="Calibri" w:cs="Calibri"/>
        </w:rPr>
        <w:t>, 209–220 (2019).</w:t>
      </w:r>
    </w:p>
    <w:p w14:paraId="7E71CDA8" w14:textId="77777777" w:rsidR="009447C5" w:rsidRPr="009447C5" w:rsidRDefault="009447C5" w:rsidP="00E955DC">
      <w:pPr>
        <w:pStyle w:val="Bibliographie1"/>
        <w:spacing w:line="240" w:lineRule="auto"/>
        <w:rPr>
          <w:rFonts w:ascii="Calibri" w:cs="Calibri"/>
        </w:rPr>
      </w:pPr>
      <w:r w:rsidRPr="009447C5">
        <w:rPr>
          <w:rFonts w:ascii="Calibri" w:cs="Calibri"/>
        </w:rPr>
        <w:t>9.</w:t>
      </w:r>
      <w:r w:rsidRPr="009447C5">
        <w:rPr>
          <w:rFonts w:ascii="Calibri" w:cs="Calibri"/>
        </w:rPr>
        <w:tab/>
        <w:t xml:space="preserve">Berthon, A., Drelon, C. &amp; Val, P. Pregnancy, Primary Aldosteronism, and Somatic CTNNB1 Mutations. </w:t>
      </w:r>
      <w:r w:rsidRPr="009447C5">
        <w:rPr>
          <w:rFonts w:ascii="Calibri" w:cs="Calibri"/>
          <w:i/>
          <w:iCs/>
        </w:rPr>
        <w:t>N. Engl. J. Med.</w:t>
      </w:r>
      <w:r w:rsidRPr="009447C5">
        <w:rPr>
          <w:rFonts w:ascii="Calibri" w:cs="Calibri"/>
        </w:rPr>
        <w:t xml:space="preserve"> </w:t>
      </w:r>
      <w:r w:rsidRPr="009447C5">
        <w:rPr>
          <w:rFonts w:ascii="Calibri" w:cs="Calibri"/>
          <w:b/>
          <w:bCs/>
        </w:rPr>
        <w:t>374</w:t>
      </w:r>
      <w:r w:rsidRPr="009447C5">
        <w:rPr>
          <w:rFonts w:ascii="Calibri" w:cs="Calibri"/>
        </w:rPr>
        <w:t>, 1493–1494 (2016).</w:t>
      </w:r>
    </w:p>
    <w:p w14:paraId="6EEBA75B" w14:textId="77777777" w:rsidR="009447C5" w:rsidRPr="009447C5" w:rsidRDefault="009447C5" w:rsidP="00E955DC">
      <w:pPr>
        <w:pStyle w:val="Bibliographie1"/>
        <w:spacing w:line="240" w:lineRule="auto"/>
        <w:rPr>
          <w:rFonts w:ascii="Calibri" w:cs="Calibri"/>
          <w:lang w:val="fr-FR"/>
        </w:rPr>
      </w:pPr>
      <w:r w:rsidRPr="009447C5">
        <w:rPr>
          <w:rFonts w:ascii="Calibri" w:cs="Calibri"/>
        </w:rPr>
        <w:t>10.</w:t>
      </w:r>
      <w:r w:rsidRPr="009447C5">
        <w:rPr>
          <w:rFonts w:ascii="Calibri" w:cs="Calibri"/>
        </w:rPr>
        <w:tab/>
        <w:t xml:space="preserve">Mathieu, M. </w:t>
      </w:r>
      <w:r w:rsidRPr="009447C5">
        <w:rPr>
          <w:rFonts w:ascii="Calibri" w:cs="Calibri"/>
          <w:i/>
          <w:iCs/>
        </w:rPr>
        <w:t>et al.</w:t>
      </w:r>
      <w:r w:rsidRPr="009447C5">
        <w:rPr>
          <w:rFonts w:ascii="Calibri" w:cs="Calibri"/>
        </w:rPr>
        <w:t xml:space="preserve"> Steroidogenic differentiation and PKA signaling are programmed by histone methyltransferase EZH2 in the adrenal cortex. </w:t>
      </w:r>
      <w:r w:rsidRPr="009447C5">
        <w:rPr>
          <w:rFonts w:ascii="Calibri" w:cs="Calibri"/>
          <w:i/>
          <w:iCs/>
          <w:lang w:val="fr-FR"/>
        </w:rPr>
        <w:t>Proc. Natl. Acad. Sci. U. S. A.</w:t>
      </w:r>
      <w:r w:rsidRPr="009447C5">
        <w:rPr>
          <w:rFonts w:ascii="Calibri" w:cs="Calibri"/>
          <w:lang w:val="fr-FR"/>
        </w:rPr>
        <w:t xml:space="preserve"> </w:t>
      </w:r>
      <w:r w:rsidRPr="009447C5">
        <w:rPr>
          <w:rFonts w:ascii="Calibri" w:cs="Calibri"/>
          <w:b/>
          <w:bCs/>
          <w:lang w:val="fr-FR"/>
        </w:rPr>
        <w:t>115</w:t>
      </w:r>
      <w:r w:rsidRPr="009447C5">
        <w:rPr>
          <w:rFonts w:ascii="Calibri" w:cs="Calibri"/>
          <w:lang w:val="fr-FR"/>
        </w:rPr>
        <w:t>, E12265–E12274 (2018).</w:t>
      </w:r>
    </w:p>
    <w:p w14:paraId="61803BAD" w14:textId="77777777" w:rsidR="009447C5" w:rsidRPr="009447C5" w:rsidRDefault="009447C5" w:rsidP="00E955DC">
      <w:pPr>
        <w:pStyle w:val="Bibliographie1"/>
        <w:spacing w:line="240" w:lineRule="auto"/>
        <w:rPr>
          <w:rFonts w:ascii="Calibri" w:cs="Calibri"/>
        </w:rPr>
      </w:pPr>
      <w:r w:rsidRPr="009447C5">
        <w:rPr>
          <w:rFonts w:ascii="Calibri" w:cs="Calibri"/>
          <w:lang w:val="fr-FR"/>
        </w:rPr>
        <w:t>11.</w:t>
      </w:r>
      <w:r w:rsidRPr="009447C5">
        <w:rPr>
          <w:rFonts w:ascii="Calibri" w:cs="Calibri"/>
          <w:lang w:val="fr-FR"/>
        </w:rPr>
        <w:tab/>
        <w:t xml:space="preserve">Dumontet, T. </w:t>
      </w:r>
      <w:r w:rsidRPr="009447C5">
        <w:rPr>
          <w:rFonts w:ascii="Calibri" w:cs="Calibri"/>
          <w:i/>
          <w:iCs/>
          <w:lang w:val="fr-FR"/>
        </w:rPr>
        <w:t>et al.</w:t>
      </w:r>
      <w:r w:rsidRPr="009447C5">
        <w:rPr>
          <w:rFonts w:ascii="Calibri" w:cs="Calibri"/>
          <w:lang w:val="fr-FR"/>
        </w:rPr>
        <w:t xml:space="preserve"> </w:t>
      </w:r>
      <w:r w:rsidRPr="009447C5">
        <w:rPr>
          <w:rFonts w:ascii="Calibri" w:cs="Calibri"/>
        </w:rPr>
        <w:t xml:space="preserve">Hormonal and spatial control of SUMOylation in the human and mouse adrenal cortex. </w:t>
      </w:r>
      <w:r w:rsidRPr="009447C5">
        <w:rPr>
          <w:rFonts w:ascii="Calibri" w:cs="Calibri"/>
          <w:i/>
          <w:iCs/>
        </w:rPr>
        <w:t>FASEB J. Off. Publ. Fed. Am. Soc. Exp. Biol.</w:t>
      </w:r>
      <w:r w:rsidRPr="009447C5">
        <w:rPr>
          <w:rFonts w:ascii="Calibri" w:cs="Calibri"/>
        </w:rPr>
        <w:t xml:space="preserve"> </w:t>
      </w:r>
      <w:r w:rsidRPr="009447C5">
        <w:rPr>
          <w:rFonts w:ascii="Calibri" w:cs="Calibri"/>
          <w:b/>
          <w:bCs/>
        </w:rPr>
        <w:t>33</w:t>
      </w:r>
      <w:r w:rsidRPr="009447C5">
        <w:rPr>
          <w:rFonts w:ascii="Calibri" w:cs="Calibri"/>
        </w:rPr>
        <w:t>, 10218–10230 (2019).</w:t>
      </w:r>
    </w:p>
    <w:p w14:paraId="243A9F74" w14:textId="7852A347" w:rsidR="00850015" w:rsidRDefault="00866562" w:rsidP="00E955DC">
      <w:pPr>
        <w:jc w:val="both"/>
        <w:rPr>
          <w:sz w:val="22"/>
          <w:szCs w:val="22"/>
          <w:lang w:val="en-GB"/>
        </w:rPr>
      </w:pPr>
      <w:r>
        <w:rPr>
          <w:sz w:val="22"/>
          <w:szCs w:val="22"/>
          <w:lang w:val="en-GB"/>
        </w:rPr>
        <w:fldChar w:fldCharType="end"/>
      </w:r>
    </w:p>
    <w:p w14:paraId="0A944766" w14:textId="77777777" w:rsidR="000B1783" w:rsidRPr="00AF1137" w:rsidRDefault="000B1783" w:rsidP="0098307A">
      <w:pPr>
        <w:jc w:val="both"/>
        <w:rPr>
          <w:sz w:val="22"/>
          <w:szCs w:val="22"/>
          <w:lang w:val="en-GB"/>
        </w:rPr>
      </w:pPr>
    </w:p>
    <w:sectPr w:rsidR="000B1783" w:rsidRPr="00AF1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CC"/>
    <w:rsid w:val="00045705"/>
    <w:rsid w:val="00053345"/>
    <w:rsid w:val="000B1783"/>
    <w:rsid w:val="000E2DFF"/>
    <w:rsid w:val="00157A36"/>
    <w:rsid w:val="00196CA2"/>
    <w:rsid w:val="001E5EDC"/>
    <w:rsid w:val="00256669"/>
    <w:rsid w:val="002B3BA7"/>
    <w:rsid w:val="0033276B"/>
    <w:rsid w:val="003E084F"/>
    <w:rsid w:val="00546338"/>
    <w:rsid w:val="005468AD"/>
    <w:rsid w:val="005A2168"/>
    <w:rsid w:val="005B2034"/>
    <w:rsid w:val="006D19D4"/>
    <w:rsid w:val="006D2D3F"/>
    <w:rsid w:val="0070303B"/>
    <w:rsid w:val="007D69EE"/>
    <w:rsid w:val="0081544C"/>
    <w:rsid w:val="00850015"/>
    <w:rsid w:val="008609CC"/>
    <w:rsid w:val="00866562"/>
    <w:rsid w:val="00941D4A"/>
    <w:rsid w:val="009447C5"/>
    <w:rsid w:val="0098307A"/>
    <w:rsid w:val="00A0202C"/>
    <w:rsid w:val="00A11E4F"/>
    <w:rsid w:val="00AF1137"/>
    <w:rsid w:val="00C43EEF"/>
    <w:rsid w:val="00CD4BF9"/>
    <w:rsid w:val="00CE416A"/>
    <w:rsid w:val="00D12A3E"/>
    <w:rsid w:val="00DA0D9F"/>
    <w:rsid w:val="00E57145"/>
    <w:rsid w:val="00E955DC"/>
    <w:rsid w:val="00F05855"/>
    <w:rsid w:val="00F67148"/>
    <w:rsid w:val="00FC7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E7B956"/>
  <w15:chartTrackingRefBased/>
  <w15:docId w15:val="{F55CF54E-CD1B-394D-873D-11F5E16C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57A3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AF1137"/>
    <w:rPr>
      <w:color w:val="0563C1" w:themeColor="hyperlink"/>
      <w:u w:val="single"/>
    </w:rPr>
  </w:style>
  <w:style w:type="character" w:styleId="Mentionnonrsolue">
    <w:name w:val="Unresolved Mention"/>
    <w:basedOn w:val="Policepardfaut"/>
    <w:uiPriority w:val="99"/>
    <w:semiHidden/>
    <w:unhideWhenUsed/>
    <w:rsid w:val="00AF1137"/>
    <w:rPr>
      <w:color w:val="605E5C"/>
      <w:shd w:val="clear" w:color="auto" w:fill="E1DFDD"/>
    </w:rPr>
  </w:style>
  <w:style w:type="paragraph" w:customStyle="1" w:styleId="Bibliographie1">
    <w:name w:val="Bibliographie1"/>
    <w:basedOn w:val="Normal"/>
    <w:link w:val="BibliographyCar"/>
    <w:rsid w:val="00866562"/>
    <w:pPr>
      <w:tabs>
        <w:tab w:val="left" w:pos="260"/>
      </w:tabs>
      <w:spacing w:line="480" w:lineRule="auto"/>
      <w:ind w:left="264" w:hanging="264"/>
      <w:jc w:val="both"/>
    </w:pPr>
    <w:rPr>
      <w:sz w:val="22"/>
      <w:szCs w:val="22"/>
      <w:lang w:val="en-GB"/>
    </w:rPr>
  </w:style>
  <w:style w:type="character" w:customStyle="1" w:styleId="BibliographyCar">
    <w:name w:val="Bibliography Car"/>
    <w:basedOn w:val="Policepardfaut"/>
    <w:link w:val="Bibliographie1"/>
    <w:rsid w:val="00866562"/>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0741">
      <w:bodyDiv w:val="1"/>
      <w:marLeft w:val="0"/>
      <w:marRight w:val="0"/>
      <w:marTop w:val="0"/>
      <w:marBottom w:val="0"/>
      <w:divBdr>
        <w:top w:val="none" w:sz="0" w:space="0" w:color="auto"/>
        <w:left w:val="none" w:sz="0" w:space="0" w:color="auto"/>
        <w:bottom w:val="none" w:sz="0" w:space="0" w:color="auto"/>
        <w:right w:val="none" w:sz="0" w:space="0" w:color="auto"/>
      </w:divBdr>
      <w:divsChild>
        <w:div w:id="110561050">
          <w:marLeft w:val="0"/>
          <w:marRight w:val="0"/>
          <w:marTop w:val="0"/>
          <w:marBottom w:val="0"/>
          <w:divBdr>
            <w:top w:val="none" w:sz="0" w:space="0" w:color="auto"/>
            <w:left w:val="none" w:sz="0" w:space="0" w:color="auto"/>
            <w:bottom w:val="none" w:sz="0" w:space="0" w:color="auto"/>
            <w:right w:val="none" w:sz="0" w:space="0" w:color="auto"/>
          </w:divBdr>
          <w:divsChild>
            <w:div w:id="922488680">
              <w:marLeft w:val="0"/>
              <w:marRight w:val="0"/>
              <w:marTop w:val="0"/>
              <w:marBottom w:val="0"/>
              <w:divBdr>
                <w:top w:val="none" w:sz="0" w:space="0" w:color="auto"/>
                <w:left w:val="none" w:sz="0" w:space="0" w:color="auto"/>
                <w:bottom w:val="none" w:sz="0" w:space="0" w:color="auto"/>
                <w:right w:val="none" w:sz="0" w:space="0" w:color="auto"/>
              </w:divBdr>
              <w:divsChild>
                <w:div w:id="1615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mes.wilmouth@uca.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rre.val@uca.fr" TargetMode="External"/><Relationship Id="rId5" Type="http://schemas.openxmlformats.org/officeDocument/2006/relationships/hyperlink" Target="https://www.gred-clermont.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5101</Words>
  <Characters>28061</Characters>
  <Application>Microsoft Office Word</Application>
  <DocSecurity>0</DocSecurity>
  <Lines>233</Lines>
  <Paragraphs>66</Paragraphs>
  <ScaleCrop>false</ScaleCrop>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Val</dc:creator>
  <cp:keywords/>
  <dc:description/>
  <cp:lastModifiedBy>Pierre Val</cp:lastModifiedBy>
  <cp:revision>40</cp:revision>
  <dcterms:created xsi:type="dcterms:W3CDTF">2021-11-11T13:44:00Z</dcterms:created>
  <dcterms:modified xsi:type="dcterms:W3CDTF">2021-11-12T15:01:00Z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id="VcjLP0nW"/&gt;&lt;style id="http://www.zotero.org/styles/nature"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